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14CCB" w14:textId="192FC790" w:rsidR="000D2EE1" w:rsidRPr="002A3C29" w:rsidRDefault="00CE315E" w:rsidP="00287991">
      <w:pPr>
        <w:pStyle w:val="Ttulo"/>
        <w:rPr>
          <w:b w:val="0"/>
          <w:lang w:val="es-EC"/>
        </w:rPr>
      </w:pPr>
      <w:r>
        <w:rPr>
          <w:noProof/>
        </w:rPr>
        <w:drawing>
          <wp:anchor distT="0" distB="0" distL="0" distR="0" simplePos="0" relativeHeight="251633664" behindDoc="1" locked="0" layoutInCell="1" allowOverlap="1" wp14:anchorId="04206671" wp14:editId="2EC3211C">
            <wp:simplePos x="0" y="0"/>
            <wp:positionH relativeFrom="page">
              <wp:align>center</wp:align>
            </wp:positionH>
            <wp:positionV relativeFrom="page">
              <wp:posOffset>53340</wp:posOffset>
            </wp:positionV>
            <wp:extent cx="6963309" cy="10020720"/>
            <wp:effectExtent l="0" t="0" r="9525"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963309" cy="10020720"/>
                    </a:xfrm>
                    <a:prstGeom prst="rect">
                      <a:avLst/>
                    </a:prstGeom>
                  </pic:spPr>
                </pic:pic>
              </a:graphicData>
            </a:graphic>
          </wp:anchor>
        </w:drawing>
      </w:r>
      <w:r w:rsidR="00143EDA" w:rsidRPr="00143EDA">
        <w:rPr>
          <w:noProof/>
          <w:lang w:val="es-EC"/>
        </w:rPr>
        <w:t>Hipotiroidismo en Mujeres de Edad Fértil, Análisis Actual</w:t>
      </w:r>
    </w:p>
    <w:p w14:paraId="4847EBF5" w14:textId="2D21B13C" w:rsidR="00287991" w:rsidRPr="00CE315E" w:rsidRDefault="00143EDA">
      <w:pPr>
        <w:ind w:left="105" w:right="378"/>
        <w:rPr>
          <w:sz w:val="20"/>
          <w:lang w:val="en-US"/>
        </w:rPr>
      </w:pPr>
      <w:r w:rsidRPr="00143EDA">
        <w:rPr>
          <w:sz w:val="20"/>
          <w:lang w:val="en-US"/>
        </w:rPr>
        <w:t>Hypothyroidism in Women of Childbearing Age, Current Analysis</w:t>
      </w:r>
    </w:p>
    <w:p w14:paraId="3A82CA02" w14:textId="57B24843" w:rsidR="00287991" w:rsidRPr="00CE315E" w:rsidRDefault="00287991">
      <w:pPr>
        <w:ind w:left="105" w:right="378"/>
        <w:rPr>
          <w:sz w:val="20"/>
          <w:lang w:val="en-US"/>
        </w:rPr>
      </w:pPr>
    </w:p>
    <w:p w14:paraId="235D2333" w14:textId="09A14305" w:rsidR="000D2EE1" w:rsidRPr="00CE315E" w:rsidRDefault="000D2EE1">
      <w:pPr>
        <w:pStyle w:val="Textoindependiente"/>
        <w:rPr>
          <w:lang w:val="en-US"/>
        </w:rPr>
      </w:pPr>
    </w:p>
    <w:p w14:paraId="7EB1548D" w14:textId="77777777" w:rsidR="00EE2725" w:rsidRPr="00693790" w:rsidRDefault="00EE2725" w:rsidP="00287991">
      <w:pPr>
        <w:pStyle w:val="Textoindependiente"/>
        <w:rPr>
          <w:b/>
          <w:iCs/>
          <w:color w:val="FFFFFF"/>
          <w:sz w:val="18"/>
          <w:szCs w:val="22"/>
          <w:lang w:val="en-US"/>
        </w:rPr>
      </w:pPr>
    </w:p>
    <w:p w14:paraId="14DF386C" w14:textId="77777777" w:rsidR="00EE2725" w:rsidRPr="00693790" w:rsidRDefault="00EE2725" w:rsidP="00287991">
      <w:pPr>
        <w:pStyle w:val="Textoindependiente"/>
        <w:rPr>
          <w:b/>
          <w:iCs/>
          <w:color w:val="FFFFFF"/>
          <w:sz w:val="18"/>
          <w:szCs w:val="22"/>
          <w:lang w:val="en-US"/>
        </w:rPr>
      </w:pPr>
    </w:p>
    <w:p w14:paraId="34B93635" w14:textId="77777777" w:rsidR="00EE2725" w:rsidRPr="00693790" w:rsidRDefault="00EE2725" w:rsidP="00287991">
      <w:pPr>
        <w:pStyle w:val="Textoindependiente"/>
        <w:rPr>
          <w:b/>
          <w:iCs/>
          <w:color w:val="FFFFFF"/>
          <w:sz w:val="18"/>
          <w:szCs w:val="22"/>
          <w:lang w:val="en-US"/>
        </w:rPr>
      </w:pPr>
    </w:p>
    <w:p w14:paraId="10FA112E" w14:textId="52843384" w:rsidR="00287991" w:rsidRDefault="00CE315E" w:rsidP="00287991">
      <w:pPr>
        <w:pStyle w:val="Textoindependiente"/>
        <w:rPr>
          <w:b/>
          <w:iCs/>
          <w:color w:val="FFFFFF"/>
          <w:sz w:val="18"/>
          <w:szCs w:val="22"/>
        </w:rPr>
      </w:pPr>
      <w:r w:rsidRPr="00287991">
        <w:rPr>
          <w:b/>
          <w:iCs/>
          <w:color w:val="FFFFFF"/>
          <w:sz w:val="18"/>
          <w:szCs w:val="22"/>
        </w:rPr>
        <w:t>R</w:t>
      </w:r>
      <w:r>
        <w:rPr>
          <w:b/>
          <w:iCs/>
          <w:color w:val="FFFFFF"/>
          <w:sz w:val="18"/>
          <w:szCs w:val="22"/>
        </w:rPr>
        <w:t>o</w:t>
      </w:r>
      <w:r w:rsidR="00143EDA">
        <w:rPr>
          <w:b/>
          <w:iCs/>
          <w:color w:val="FFFFFF"/>
          <w:sz w:val="18"/>
          <w:szCs w:val="22"/>
        </w:rPr>
        <w:t xml:space="preserve">bles Urgilez, </w:t>
      </w:r>
      <w:proofErr w:type="spellStart"/>
      <w:r w:rsidR="00143EDA">
        <w:rPr>
          <w:b/>
          <w:iCs/>
          <w:color w:val="FFFFFF"/>
          <w:sz w:val="18"/>
          <w:szCs w:val="22"/>
        </w:rPr>
        <w:t>Maria</w:t>
      </w:r>
      <w:proofErr w:type="spellEnd"/>
    </w:p>
    <w:p w14:paraId="06F6E633" w14:textId="704702EF" w:rsidR="00973A53" w:rsidRDefault="00973A53" w:rsidP="00287991">
      <w:pPr>
        <w:pStyle w:val="Textoindependiente"/>
        <w:rPr>
          <w:b/>
          <w:iCs/>
          <w:color w:val="FFFFFF"/>
          <w:sz w:val="18"/>
          <w:szCs w:val="22"/>
        </w:rPr>
      </w:pPr>
      <w:r>
        <w:rPr>
          <w:b/>
          <w:iCs/>
          <w:color w:val="FFFFFF"/>
          <w:sz w:val="18"/>
          <w:szCs w:val="22"/>
        </w:rPr>
        <w:t>Universidad de Guayaquil</w:t>
      </w:r>
    </w:p>
    <w:p w14:paraId="354B8E47" w14:textId="5AE8264F" w:rsidR="00973A53" w:rsidRDefault="00143EDA" w:rsidP="00973A53">
      <w:pPr>
        <w:pStyle w:val="Textoindependiente"/>
        <w:rPr>
          <w:b/>
          <w:iCs/>
          <w:color w:val="FFFFFF" w:themeColor="background1"/>
          <w:sz w:val="18"/>
          <w:szCs w:val="22"/>
        </w:rPr>
      </w:pPr>
      <w:hyperlink r:id="rId9" w:history="1">
        <w:r w:rsidRPr="00800508">
          <w:rPr>
            <w:rStyle w:val="Hipervnculo"/>
            <w:b/>
            <w:iCs/>
            <w:sz w:val="18"/>
            <w:szCs w:val="22"/>
          </w:rPr>
          <w:t>maria.roblesu@ug.edu.ec</w:t>
        </w:r>
      </w:hyperlink>
      <w:r w:rsidR="00973A53" w:rsidRPr="00973A53">
        <w:rPr>
          <w:b/>
          <w:iCs/>
          <w:color w:val="FFFFFF" w:themeColor="background1"/>
          <w:sz w:val="18"/>
          <w:szCs w:val="22"/>
        </w:rPr>
        <w:t>;</w:t>
      </w:r>
    </w:p>
    <w:p w14:paraId="171293F8" w14:textId="686615F4" w:rsidR="00143EDA" w:rsidRPr="00143EDA" w:rsidRDefault="00143EDA" w:rsidP="00973A53">
      <w:pPr>
        <w:pStyle w:val="Textoindependiente"/>
        <w:rPr>
          <w:b/>
          <w:iCs/>
          <w:color w:val="FFFFFF" w:themeColor="background1"/>
          <w:sz w:val="18"/>
          <w:szCs w:val="22"/>
          <w:lang w:val="en-US"/>
        </w:rPr>
      </w:pPr>
      <w:r w:rsidRPr="00143EDA">
        <w:rPr>
          <w:b/>
          <w:iCs/>
          <w:color w:val="FFFFFF" w:themeColor="background1"/>
          <w:sz w:val="18"/>
          <w:szCs w:val="22"/>
          <w:lang w:val="en-US"/>
        </w:rPr>
        <w:t>https://orcid.org/0000-0001-5457-71021</w:t>
      </w:r>
    </w:p>
    <w:p w14:paraId="2CEDFB1C" w14:textId="77777777" w:rsidR="00143EDA" w:rsidRPr="00143EDA" w:rsidRDefault="00143EDA" w:rsidP="00973A53">
      <w:pPr>
        <w:pStyle w:val="Textoindependiente"/>
        <w:rPr>
          <w:b/>
          <w:iCs/>
          <w:color w:val="FFFFFF" w:themeColor="background1"/>
          <w:sz w:val="18"/>
          <w:szCs w:val="22"/>
          <w:lang w:val="en-US"/>
        </w:rPr>
      </w:pPr>
    </w:p>
    <w:p w14:paraId="07A14B3C" w14:textId="77777777" w:rsidR="00CA1404" w:rsidRPr="00143EDA" w:rsidRDefault="00CA1404" w:rsidP="00287991">
      <w:pPr>
        <w:pStyle w:val="Textoindependiente"/>
        <w:rPr>
          <w:b/>
          <w:iCs/>
          <w:color w:val="FFFFFF"/>
          <w:sz w:val="18"/>
          <w:szCs w:val="22"/>
          <w:lang w:val="en-US"/>
        </w:rPr>
      </w:pPr>
    </w:p>
    <w:p w14:paraId="441051CF" w14:textId="77777777" w:rsidR="00973A53" w:rsidRPr="00143EDA" w:rsidRDefault="00973A53" w:rsidP="00287991">
      <w:pPr>
        <w:pStyle w:val="Textoindependiente"/>
        <w:rPr>
          <w:b/>
          <w:iCs/>
          <w:color w:val="FFFFFF"/>
          <w:sz w:val="18"/>
          <w:szCs w:val="22"/>
          <w:lang w:val="en-US"/>
        </w:rPr>
      </w:pPr>
    </w:p>
    <w:p w14:paraId="1F7D513B" w14:textId="769183A9" w:rsidR="00171968" w:rsidRPr="00143EDA" w:rsidRDefault="00171968" w:rsidP="00171968">
      <w:pPr>
        <w:pStyle w:val="Textoindependiente"/>
        <w:rPr>
          <w:color w:val="FFFFFF"/>
          <w:sz w:val="18"/>
          <w:lang w:val="en-US"/>
        </w:rPr>
      </w:pPr>
    </w:p>
    <w:p w14:paraId="39686489" w14:textId="77777777" w:rsidR="00CE315E" w:rsidRPr="00143EDA" w:rsidRDefault="00CE315E">
      <w:pPr>
        <w:spacing w:before="198"/>
        <w:ind w:left="105" w:right="2070"/>
        <w:rPr>
          <w:color w:val="FFFFFF"/>
          <w:sz w:val="18"/>
          <w:lang w:val="en-US"/>
        </w:rPr>
      </w:pPr>
    </w:p>
    <w:p w14:paraId="25A1F6CA" w14:textId="4413D915" w:rsidR="000D2EE1" w:rsidRPr="00CE315E" w:rsidRDefault="00CE315E" w:rsidP="00143EDA">
      <w:pPr>
        <w:spacing w:before="198"/>
        <w:ind w:right="2070"/>
        <w:rPr>
          <w:sz w:val="18"/>
          <w:lang w:val="en-US"/>
        </w:rPr>
      </w:pPr>
      <w:r w:rsidRPr="00CE315E">
        <w:rPr>
          <w:color w:val="FFFFFF"/>
          <w:sz w:val="18"/>
          <w:lang w:val="en-US"/>
        </w:rPr>
        <w:t>Ecuador</w:t>
      </w:r>
      <w:r w:rsidRPr="00CE315E">
        <w:rPr>
          <w:color w:val="FFFFFF"/>
          <w:spacing w:val="1"/>
          <w:sz w:val="18"/>
          <w:lang w:val="en-US"/>
        </w:rPr>
        <w:t xml:space="preserve"> </w:t>
      </w:r>
      <w:r w:rsidRPr="00CE315E">
        <w:rPr>
          <w:color w:val="FFFFFF"/>
          <w:sz w:val="18"/>
          <w:lang w:val="en-US"/>
        </w:rPr>
        <w:t>http://www.jah-</w:t>
      </w:r>
      <w:r w:rsidRPr="00CE315E">
        <w:rPr>
          <w:color w:val="FFFFFF"/>
          <w:spacing w:val="1"/>
          <w:sz w:val="18"/>
          <w:lang w:val="en-US"/>
        </w:rPr>
        <w:t xml:space="preserve"> </w:t>
      </w:r>
      <w:r w:rsidRPr="00CE315E">
        <w:rPr>
          <w:color w:val="FFFFFF"/>
          <w:spacing w:val="-1"/>
          <w:sz w:val="18"/>
          <w:lang w:val="en-US"/>
        </w:rPr>
        <w:t>journal.com/</w:t>
      </w:r>
      <w:proofErr w:type="spellStart"/>
      <w:r w:rsidRPr="00CE315E">
        <w:rPr>
          <w:color w:val="FFFFFF"/>
          <w:spacing w:val="-1"/>
          <w:sz w:val="18"/>
          <w:lang w:val="en-US"/>
        </w:rPr>
        <w:t>index.php</w:t>
      </w:r>
      <w:proofErr w:type="spellEnd"/>
      <w:r w:rsidRPr="00CE315E">
        <w:rPr>
          <w:color w:val="FFFFFF"/>
          <w:spacing w:val="-1"/>
          <w:sz w:val="18"/>
          <w:lang w:val="en-US"/>
        </w:rPr>
        <w:t>/</w:t>
      </w:r>
      <w:proofErr w:type="spellStart"/>
      <w:r w:rsidRPr="00CE315E">
        <w:rPr>
          <w:color w:val="FFFFFF"/>
          <w:spacing w:val="-1"/>
          <w:sz w:val="18"/>
          <w:lang w:val="en-US"/>
        </w:rPr>
        <w:t>jah</w:t>
      </w:r>
      <w:proofErr w:type="spellEnd"/>
      <w:r w:rsidRPr="00CE315E">
        <w:rPr>
          <w:color w:val="FFFFFF"/>
          <w:spacing w:val="-38"/>
          <w:sz w:val="18"/>
          <w:lang w:val="en-US"/>
        </w:rPr>
        <w:t xml:space="preserve"> </w:t>
      </w:r>
      <w:r w:rsidRPr="00CE315E">
        <w:rPr>
          <w:color w:val="FFFFFF"/>
          <w:sz w:val="18"/>
          <w:lang w:val="en-US"/>
        </w:rPr>
        <w:t>Journal</w:t>
      </w:r>
      <w:r w:rsidRPr="00CE315E">
        <w:rPr>
          <w:color w:val="FFFFFF"/>
          <w:spacing w:val="-4"/>
          <w:sz w:val="18"/>
          <w:lang w:val="en-US"/>
        </w:rPr>
        <w:t xml:space="preserve"> </w:t>
      </w:r>
      <w:r w:rsidRPr="00CE315E">
        <w:rPr>
          <w:color w:val="FFFFFF"/>
          <w:sz w:val="18"/>
          <w:lang w:val="en-US"/>
        </w:rPr>
        <w:t>of</w:t>
      </w:r>
      <w:r w:rsidRPr="00CE315E">
        <w:rPr>
          <w:color w:val="FFFFFF"/>
          <w:spacing w:val="-3"/>
          <w:sz w:val="18"/>
          <w:lang w:val="en-US"/>
        </w:rPr>
        <w:t xml:space="preserve"> </w:t>
      </w:r>
      <w:r w:rsidRPr="00CE315E">
        <w:rPr>
          <w:color w:val="FFFFFF"/>
          <w:sz w:val="18"/>
          <w:lang w:val="en-US"/>
        </w:rPr>
        <w:t>American</w:t>
      </w:r>
      <w:r w:rsidRPr="00CE315E">
        <w:rPr>
          <w:color w:val="FFFFFF"/>
          <w:spacing w:val="-4"/>
          <w:sz w:val="18"/>
          <w:lang w:val="en-US"/>
        </w:rPr>
        <w:t xml:space="preserve"> </w:t>
      </w:r>
      <w:r w:rsidRPr="00CE315E">
        <w:rPr>
          <w:color w:val="FFFFFF"/>
          <w:sz w:val="18"/>
          <w:lang w:val="en-US"/>
        </w:rPr>
        <w:t>health</w:t>
      </w:r>
    </w:p>
    <w:p w14:paraId="51855941" w14:textId="3B9AAEBA" w:rsidR="000D2EE1" w:rsidRDefault="00CE315E" w:rsidP="00143EDA">
      <w:pPr>
        <w:spacing w:line="219" w:lineRule="exact"/>
        <w:rPr>
          <w:sz w:val="18"/>
        </w:rPr>
      </w:pPr>
      <w:r>
        <w:rPr>
          <w:color w:val="FFFFFF"/>
          <w:sz w:val="18"/>
        </w:rPr>
        <w:t>Enero</w:t>
      </w:r>
      <w:r>
        <w:rPr>
          <w:color w:val="FFFFFF"/>
          <w:spacing w:val="-3"/>
          <w:sz w:val="18"/>
        </w:rPr>
        <w:t xml:space="preserve"> </w:t>
      </w:r>
      <w:r>
        <w:rPr>
          <w:color w:val="FFFFFF"/>
          <w:sz w:val="18"/>
        </w:rPr>
        <w:t>-</w:t>
      </w:r>
      <w:r>
        <w:rPr>
          <w:color w:val="FFFFFF"/>
          <w:spacing w:val="-1"/>
          <w:sz w:val="18"/>
        </w:rPr>
        <w:t xml:space="preserve"> </w:t>
      </w:r>
      <w:r>
        <w:rPr>
          <w:color w:val="FFFFFF"/>
          <w:sz w:val="18"/>
        </w:rPr>
        <w:t>Junio</w:t>
      </w:r>
      <w:r>
        <w:rPr>
          <w:color w:val="FFFFFF"/>
          <w:spacing w:val="38"/>
          <w:sz w:val="18"/>
        </w:rPr>
        <w:t xml:space="preserve"> </w:t>
      </w:r>
      <w:r>
        <w:rPr>
          <w:color w:val="FFFFFF"/>
          <w:sz w:val="18"/>
        </w:rPr>
        <w:t>vol.</w:t>
      </w:r>
      <w:r>
        <w:rPr>
          <w:color w:val="FFFFFF"/>
          <w:spacing w:val="-1"/>
          <w:sz w:val="18"/>
        </w:rPr>
        <w:t xml:space="preserve"> </w:t>
      </w:r>
      <w:r w:rsidR="000E60E7">
        <w:rPr>
          <w:color w:val="FFFFFF"/>
          <w:sz w:val="18"/>
        </w:rPr>
        <w:t>7</w:t>
      </w:r>
      <w:r>
        <w:rPr>
          <w:color w:val="FFFFFF"/>
          <w:sz w:val="18"/>
        </w:rPr>
        <w:t>.</w:t>
      </w:r>
      <w:r>
        <w:rPr>
          <w:color w:val="FFFFFF"/>
          <w:spacing w:val="-1"/>
          <w:sz w:val="18"/>
        </w:rPr>
        <w:t xml:space="preserve"> </w:t>
      </w:r>
      <w:proofErr w:type="spellStart"/>
      <w:r>
        <w:rPr>
          <w:color w:val="FFFFFF"/>
          <w:sz w:val="18"/>
        </w:rPr>
        <w:t>Num</w:t>
      </w:r>
      <w:proofErr w:type="spellEnd"/>
      <w:r>
        <w:rPr>
          <w:color w:val="FFFFFF"/>
          <w:sz w:val="18"/>
        </w:rPr>
        <w:t>.</w:t>
      </w:r>
      <w:r>
        <w:rPr>
          <w:color w:val="FFFFFF"/>
          <w:spacing w:val="-1"/>
          <w:sz w:val="18"/>
        </w:rPr>
        <w:t xml:space="preserve"> </w:t>
      </w:r>
      <w:r w:rsidR="000E60E7">
        <w:rPr>
          <w:color w:val="FFFFFF"/>
          <w:sz w:val="18"/>
        </w:rPr>
        <w:t>2</w:t>
      </w:r>
      <w:r>
        <w:rPr>
          <w:color w:val="FFFFFF"/>
          <w:spacing w:val="-3"/>
          <w:sz w:val="18"/>
        </w:rPr>
        <w:t xml:space="preserve"> </w:t>
      </w:r>
      <w:r>
        <w:rPr>
          <w:color w:val="FFFFFF"/>
          <w:sz w:val="18"/>
        </w:rPr>
        <w:t>–</w:t>
      </w:r>
      <w:r>
        <w:rPr>
          <w:color w:val="FFFFFF"/>
          <w:spacing w:val="-2"/>
          <w:sz w:val="18"/>
        </w:rPr>
        <w:t xml:space="preserve"> </w:t>
      </w:r>
      <w:r>
        <w:rPr>
          <w:color w:val="FFFFFF"/>
          <w:sz w:val="18"/>
        </w:rPr>
        <w:t>202</w:t>
      </w:r>
      <w:r w:rsidR="000E60E7">
        <w:rPr>
          <w:color w:val="FFFFFF"/>
          <w:sz w:val="18"/>
        </w:rPr>
        <w:t>4</w:t>
      </w:r>
    </w:p>
    <w:p w14:paraId="2B97681C" w14:textId="441F1409" w:rsidR="000D2EE1" w:rsidRDefault="00CE315E" w:rsidP="00143EDA">
      <w:pPr>
        <w:spacing w:before="4" w:line="235" w:lineRule="auto"/>
        <w:ind w:right="1047"/>
        <w:rPr>
          <w:sz w:val="18"/>
        </w:rPr>
      </w:pPr>
      <w:r>
        <w:rPr>
          <w:color w:val="FFFFFF"/>
          <w:sz w:val="18"/>
        </w:rPr>
        <w:t>Esta obra está bajo una Licencia Creative</w:t>
      </w:r>
      <w:r>
        <w:rPr>
          <w:color w:val="FFFFFF"/>
          <w:spacing w:val="-38"/>
          <w:sz w:val="18"/>
        </w:rPr>
        <w:t xml:space="preserve"> </w:t>
      </w:r>
      <w:proofErr w:type="spellStart"/>
      <w:r>
        <w:rPr>
          <w:color w:val="FFFFFF"/>
          <w:sz w:val="18"/>
        </w:rPr>
        <w:t>CommonsAtribución-NoComercial-CompartirIgual</w:t>
      </w:r>
      <w:proofErr w:type="spellEnd"/>
    </w:p>
    <w:p w14:paraId="6A81D462" w14:textId="77777777" w:rsidR="000D2EE1" w:rsidRDefault="00CE315E">
      <w:pPr>
        <w:spacing w:before="1"/>
        <w:ind w:left="105"/>
        <w:rPr>
          <w:sz w:val="18"/>
        </w:rPr>
      </w:pPr>
      <w:r>
        <w:rPr>
          <w:color w:val="FFFFFF"/>
          <w:sz w:val="18"/>
        </w:rPr>
        <w:t>4.0</w:t>
      </w:r>
      <w:r>
        <w:rPr>
          <w:color w:val="FFFFFF"/>
          <w:spacing w:val="-5"/>
          <w:sz w:val="18"/>
        </w:rPr>
        <w:t xml:space="preserve"> </w:t>
      </w:r>
      <w:r>
        <w:rPr>
          <w:color w:val="FFFFFF"/>
          <w:sz w:val="18"/>
        </w:rPr>
        <w:t>Internacional.</w:t>
      </w:r>
    </w:p>
    <w:p w14:paraId="11BDA81E" w14:textId="77777777" w:rsidR="000D2EE1" w:rsidRDefault="000D2EE1">
      <w:pPr>
        <w:pStyle w:val="Textoindependiente"/>
        <w:spacing w:before="9"/>
        <w:rPr>
          <w:sz w:val="17"/>
        </w:rPr>
      </w:pPr>
    </w:p>
    <w:p w14:paraId="33E74BAF" w14:textId="1E5B4598" w:rsidR="000D2EE1" w:rsidRDefault="00CE315E">
      <w:pPr>
        <w:spacing w:before="1"/>
        <w:ind w:left="105"/>
        <w:rPr>
          <w:i/>
          <w:sz w:val="18"/>
        </w:rPr>
      </w:pPr>
      <w:r>
        <w:rPr>
          <w:i/>
          <w:color w:val="FFFFFF"/>
          <w:sz w:val="18"/>
        </w:rPr>
        <w:t>RECIBIDO:</w:t>
      </w:r>
      <w:r>
        <w:rPr>
          <w:i/>
          <w:color w:val="FFFFFF"/>
          <w:spacing w:val="-2"/>
          <w:sz w:val="18"/>
        </w:rPr>
        <w:t xml:space="preserve"> </w:t>
      </w:r>
      <w:r>
        <w:rPr>
          <w:i/>
          <w:color w:val="FFFFFF"/>
          <w:sz w:val="18"/>
        </w:rPr>
        <w:t>09</w:t>
      </w:r>
      <w:r>
        <w:rPr>
          <w:i/>
          <w:color w:val="FFFFFF"/>
          <w:spacing w:val="36"/>
          <w:sz w:val="18"/>
        </w:rPr>
        <w:t xml:space="preserve"> </w:t>
      </w:r>
      <w:r>
        <w:rPr>
          <w:i/>
          <w:color w:val="FFFFFF"/>
          <w:sz w:val="18"/>
        </w:rPr>
        <w:t>DE</w:t>
      </w:r>
      <w:r>
        <w:rPr>
          <w:i/>
          <w:color w:val="FFFFFF"/>
          <w:spacing w:val="-3"/>
          <w:sz w:val="18"/>
        </w:rPr>
        <w:t xml:space="preserve"> </w:t>
      </w:r>
      <w:r w:rsidR="000E60E7">
        <w:rPr>
          <w:i/>
          <w:color w:val="FFFFFF"/>
          <w:sz w:val="18"/>
        </w:rPr>
        <w:t>ABRIL DEL 2024</w:t>
      </w:r>
    </w:p>
    <w:p w14:paraId="4B4F48AC" w14:textId="6987BD92" w:rsidR="000D2EE1" w:rsidRDefault="00CE315E">
      <w:pPr>
        <w:spacing w:before="1"/>
        <w:ind w:left="105"/>
        <w:rPr>
          <w:i/>
          <w:sz w:val="18"/>
        </w:rPr>
      </w:pPr>
      <w:r>
        <w:rPr>
          <w:i/>
          <w:color w:val="FFFFFF"/>
          <w:sz w:val="18"/>
        </w:rPr>
        <w:t>ACEPTADO:</w:t>
      </w:r>
      <w:r>
        <w:rPr>
          <w:i/>
          <w:color w:val="FFFFFF"/>
          <w:spacing w:val="-5"/>
          <w:sz w:val="18"/>
        </w:rPr>
        <w:t xml:space="preserve"> </w:t>
      </w:r>
      <w:r>
        <w:rPr>
          <w:i/>
          <w:color w:val="FFFFFF"/>
          <w:sz w:val="18"/>
        </w:rPr>
        <w:t>12</w:t>
      </w:r>
      <w:r>
        <w:rPr>
          <w:i/>
          <w:color w:val="FFFFFF"/>
          <w:spacing w:val="-4"/>
          <w:sz w:val="18"/>
        </w:rPr>
        <w:t xml:space="preserve"> </w:t>
      </w:r>
      <w:r>
        <w:rPr>
          <w:i/>
          <w:color w:val="FFFFFF"/>
          <w:sz w:val="18"/>
        </w:rPr>
        <w:t>DE</w:t>
      </w:r>
      <w:r>
        <w:rPr>
          <w:i/>
          <w:color w:val="FFFFFF"/>
          <w:spacing w:val="-4"/>
          <w:sz w:val="18"/>
        </w:rPr>
        <w:t xml:space="preserve"> </w:t>
      </w:r>
      <w:r w:rsidR="000E60E7">
        <w:rPr>
          <w:i/>
          <w:color w:val="FFFFFF"/>
          <w:sz w:val="18"/>
        </w:rPr>
        <w:t>JUNIO 2024</w:t>
      </w:r>
    </w:p>
    <w:p w14:paraId="3BA3CEFE" w14:textId="73B3E121" w:rsidR="000D2EE1" w:rsidRDefault="00CE315E">
      <w:pPr>
        <w:spacing w:before="1"/>
        <w:ind w:left="105"/>
        <w:rPr>
          <w:i/>
          <w:sz w:val="18"/>
        </w:rPr>
      </w:pPr>
      <w:r>
        <w:rPr>
          <w:i/>
          <w:color w:val="FFFFFF"/>
          <w:sz w:val="18"/>
        </w:rPr>
        <w:t>PUBLICADO:</w:t>
      </w:r>
      <w:r>
        <w:rPr>
          <w:i/>
          <w:color w:val="FFFFFF"/>
          <w:spacing w:val="-2"/>
          <w:sz w:val="18"/>
        </w:rPr>
        <w:t xml:space="preserve"> </w:t>
      </w:r>
      <w:r w:rsidR="000E60E7">
        <w:rPr>
          <w:i/>
          <w:color w:val="FFFFFF"/>
          <w:sz w:val="18"/>
        </w:rPr>
        <w:t xml:space="preserve">30 </w:t>
      </w:r>
      <w:r>
        <w:rPr>
          <w:i/>
          <w:color w:val="FFFFFF"/>
          <w:sz w:val="18"/>
        </w:rPr>
        <w:t>DE</w:t>
      </w:r>
      <w:r>
        <w:rPr>
          <w:i/>
          <w:color w:val="FFFFFF"/>
          <w:spacing w:val="-3"/>
          <w:sz w:val="18"/>
        </w:rPr>
        <w:t xml:space="preserve"> </w:t>
      </w:r>
      <w:r w:rsidR="000E60E7">
        <w:rPr>
          <w:i/>
          <w:color w:val="FFFFFF"/>
          <w:sz w:val="18"/>
        </w:rPr>
        <w:t>SEPTIEMBRE</w:t>
      </w:r>
      <w:r>
        <w:rPr>
          <w:i/>
          <w:color w:val="FFFFFF"/>
          <w:spacing w:val="-3"/>
          <w:sz w:val="18"/>
        </w:rPr>
        <w:t xml:space="preserve"> </w:t>
      </w:r>
      <w:r>
        <w:rPr>
          <w:i/>
          <w:color w:val="FFFFFF"/>
          <w:sz w:val="18"/>
        </w:rPr>
        <w:t>202</w:t>
      </w:r>
      <w:r w:rsidR="000E60E7">
        <w:rPr>
          <w:i/>
          <w:color w:val="FFFFFF"/>
          <w:sz w:val="18"/>
        </w:rPr>
        <w:t>4</w:t>
      </w:r>
    </w:p>
    <w:p w14:paraId="1648BE51" w14:textId="77777777" w:rsidR="000D2EE1" w:rsidRDefault="000D2EE1">
      <w:pPr>
        <w:pStyle w:val="Textoindependiente"/>
        <w:rPr>
          <w:i/>
          <w:sz w:val="22"/>
        </w:rPr>
      </w:pPr>
    </w:p>
    <w:p w14:paraId="7FB9ED4F" w14:textId="77777777" w:rsidR="000D2EE1" w:rsidRDefault="000D2EE1">
      <w:pPr>
        <w:pStyle w:val="Textoindependiente"/>
        <w:rPr>
          <w:i/>
          <w:sz w:val="22"/>
        </w:rPr>
      </w:pPr>
    </w:p>
    <w:p w14:paraId="1AD1DF45" w14:textId="77777777" w:rsidR="000D2EE1" w:rsidRDefault="000D2EE1">
      <w:pPr>
        <w:pStyle w:val="Textoindependiente"/>
        <w:rPr>
          <w:i/>
          <w:sz w:val="22"/>
        </w:rPr>
      </w:pPr>
    </w:p>
    <w:p w14:paraId="006F1F61" w14:textId="77777777" w:rsidR="000D2EE1" w:rsidRDefault="000D2EE1">
      <w:pPr>
        <w:pStyle w:val="Textoindependiente"/>
        <w:rPr>
          <w:i/>
          <w:sz w:val="22"/>
        </w:rPr>
      </w:pPr>
    </w:p>
    <w:p w14:paraId="42138063" w14:textId="77777777" w:rsidR="000D2EE1" w:rsidRDefault="000D2EE1">
      <w:pPr>
        <w:pStyle w:val="Textoindependiente"/>
        <w:rPr>
          <w:i/>
          <w:sz w:val="22"/>
        </w:rPr>
      </w:pPr>
    </w:p>
    <w:p w14:paraId="01313FFE" w14:textId="77777777" w:rsidR="000D2EE1" w:rsidRDefault="000D2EE1">
      <w:pPr>
        <w:pStyle w:val="Textoindependiente"/>
        <w:rPr>
          <w:i/>
          <w:sz w:val="22"/>
        </w:rPr>
      </w:pPr>
    </w:p>
    <w:p w14:paraId="5970B309" w14:textId="77777777" w:rsidR="000D2EE1" w:rsidRDefault="000D2EE1">
      <w:pPr>
        <w:pStyle w:val="Textoindependiente"/>
        <w:rPr>
          <w:i/>
          <w:sz w:val="22"/>
        </w:rPr>
      </w:pPr>
    </w:p>
    <w:p w14:paraId="53915036" w14:textId="77777777" w:rsidR="000D2EE1" w:rsidRDefault="000D2EE1">
      <w:pPr>
        <w:pStyle w:val="Textoindependiente"/>
        <w:rPr>
          <w:i/>
          <w:sz w:val="22"/>
        </w:rPr>
      </w:pPr>
    </w:p>
    <w:p w14:paraId="08BF1B29" w14:textId="77777777" w:rsidR="000D2EE1" w:rsidRDefault="000D2EE1">
      <w:pPr>
        <w:pStyle w:val="Textoindependiente"/>
        <w:rPr>
          <w:i/>
          <w:sz w:val="22"/>
        </w:rPr>
      </w:pPr>
    </w:p>
    <w:p w14:paraId="2681AAD2" w14:textId="77777777" w:rsidR="000D2EE1" w:rsidRDefault="000D2EE1">
      <w:pPr>
        <w:pStyle w:val="Textoindependiente"/>
        <w:rPr>
          <w:i/>
          <w:sz w:val="22"/>
        </w:rPr>
      </w:pPr>
    </w:p>
    <w:p w14:paraId="5782F33C" w14:textId="77777777" w:rsidR="000D2EE1" w:rsidRDefault="000D2EE1">
      <w:pPr>
        <w:pStyle w:val="Textoindependiente"/>
        <w:rPr>
          <w:i/>
          <w:sz w:val="22"/>
        </w:rPr>
      </w:pPr>
    </w:p>
    <w:p w14:paraId="55BA206F" w14:textId="77777777" w:rsidR="000D2EE1" w:rsidRDefault="000D2EE1">
      <w:pPr>
        <w:pStyle w:val="Textoindependiente"/>
        <w:rPr>
          <w:i/>
          <w:sz w:val="22"/>
        </w:rPr>
      </w:pPr>
    </w:p>
    <w:p w14:paraId="607B21C8" w14:textId="77777777" w:rsidR="000D2EE1" w:rsidRDefault="000D2EE1">
      <w:pPr>
        <w:pStyle w:val="Textoindependiente"/>
        <w:rPr>
          <w:i/>
          <w:sz w:val="22"/>
        </w:rPr>
      </w:pPr>
    </w:p>
    <w:p w14:paraId="6ECBDF3A" w14:textId="77777777" w:rsidR="000D2EE1" w:rsidRDefault="000D2EE1">
      <w:pPr>
        <w:pStyle w:val="Textoindependiente"/>
        <w:rPr>
          <w:i/>
          <w:sz w:val="22"/>
        </w:rPr>
      </w:pPr>
    </w:p>
    <w:p w14:paraId="1E3FB1A7" w14:textId="77777777" w:rsidR="000D2EE1" w:rsidRDefault="000D2EE1">
      <w:pPr>
        <w:pStyle w:val="Textoindependiente"/>
        <w:rPr>
          <w:i/>
          <w:sz w:val="22"/>
        </w:rPr>
      </w:pPr>
    </w:p>
    <w:p w14:paraId="0C8F17A2" w14:textId="77777777" w:rsidR="000D2EE1" w:rsidRDefault="000D2EE1">
      <w:pPr>
        <w:pStyle w:val="Textoindependiente"/>
        <w:rPr>
          <w:i/>
          <w:sz w:val="22"/>
        </w:rPr>
      </w:pPr>
    </w:p>
    <w:p w14:paraId="688A4BA9" w14:textId="77777777" w:rsidR="000D2EE1" w:rsidRDefault="000D2EE1">
      <w:pPr>
        <w:pStyle w:val="Textoindependiente"/>
        <w:rPr>
          <w:i/>
          <w:sz w:val="22"/>
        </w:rPr>
      </w:pPr>
    </w:p>
    <w:p w14:paraId="1C8579DF" w14:textId="77777777" w:rsidR="000D2EE1" w:rsidRDefault="000D2EE1">
      <w:pPr>
        <w:pStyle w:val="Textoindependiente"/>
        <w:rPr>
          <w:i/>
          <w:sz w:val="22"/>
        </w:rPr>
      </w:pPr>
    </w:p>
    <w:p w14:paraId="47A133EE" w14:textId="77777777" w:rsidR="000D2EE1" w:rsidRDefault="000D2EE1">
      <w:pPr>
        <w:pStyle w:val="Textoindependiente"/>
        <w:rPr>
          <w:i/>
          <w:sz w:val="22"/>
        </w:rPr>
      </w:pPr>
    </w:p>
    <w:p w14:paraId="0E521C16" w14:textId="77777777" w:rsidR="000D2EE1" w:rsidRDefault="000D2EE1">
      <w:pPr>
        <w:pStyle w:val="Textoindependiente"/>
        <w:rPr>
          <w:i/>
          <w:sz w:val="22"/>
        </w:rPr>
      </w:pPr>
    </w:p>
    <w:p w14:paraId="7F0C3DAC" w14:textId="77777777" w:rsidR="000D2EE1" w:rsidRDefault="000D2EE1">
      <w:pPr>
        <w:pStyle w:val="Textoindependiente"/>
        <w:rPr>
          <w:i/>
          <w:sz w:val="22"/>
        </w:rPr>
      </w:pPr>
    </w:p>
    <w:p w14:paraId="13A6ECD8" w14:textId="77777777" w:rsidR="000D2EE1" w:rsidRDefault="000D2EE1">
      <w:pPr>
        <w:pStyle w:val="Textoindependiente"/>
        <w:spacing w:before="3"/>
        <w:rPr>
          <w:i/>
          <w:sz w:val="25"/>
        </w:rPr>
      </w:pPr>
    </w:p>
    <w:p w14:paraId="54598D8F" w14:textId="050CAA43" w:rsidR="00171968" w:rsidRPr="00693790" w:rsidRDefault="00CE315E" w:rsidP="00BC103B">
      <w:pPr>
        <w:pStyle w:val="Ttulo1"/>
        <w:spacing w:before="215"/>
        <w:ind w:left="720"/>
        <w:rPr>
          <w:lang w:val="es-MX"/>
        </w:rPr>
      </w:pPr>
      <w:r>
        <w:br w:type="column"/>
      </w:r>
      <w:r w:rsidR="00171968" w:rsidRPr="00693790">
        <w:rPr>
          <w:lang w:val="es-MX"/>
        </w:rPr>
        <w:t>RESUMEN</w:t>
      </w:r>
    </w:p>
    <w:p w14:paraId="1E77E5A6" w14:textId="77777777" w:rsidR="00693790" w:rsidRDefault="002C2DFC" w:rsidP="00143EDA">
      <w:pPr>
        <w:pStyle w:val="Prrafodelista"/>
        <w:ind w:left="720" w:firstLine="0"/>
        <w:rPr>
          <w:color w:val="000000" w:themeColor="text1"/>
          <w:sz w:val="24"/>
          <w:szCs w:val="24"/>
        </w:rPr>
      </w:pPr>
      <w:r w:rsidRPr="00693790">
        <w:rPr>
          <w:color w:val="000000" w:themeColor="text1"/>
          <w:sz w:val="24"/>
          <w:szCs w:val="24"/>
        </w:rPr>
        <w:t xml:space="preserve">El hipotiroidismo, una condición común en mujeres en edad fértil, se caracteriza por la producción insuficiente de hormonas tiroideas (T3 y T4), lo que puede afectar negativamente la fertilidad y los desenlaces durante el embarazo. Este estudio tuvo como objetivo analizar los métodos diagnósticos y el tratamiento del hipotiroidismo en este grupo poblacional, así como sus implicaciones clínicas a fin de actualizar este tema. Se realizó una revisión bibliográfica exhaustiva utilizando bases de datos como PubMed y SciELO, seleccionando 32 fuentes relevantes que abordan el diagnóstico, tratamiento y complicaciones del hipotiroidismo. Los resultados indican que la medición de TSH y T4 libre son fundamentales para el diagnóstico, mientras que la levotiroxina es el tratamiento estándar que mejora los resultados reproductivos. Se destaca que el hipotiroidismo, tanto manifiesto como subclínico, se asocia con irregularidades menstruales y un aumento en la tasa de abortos espontáneos. Además, se recomienda realizar un cribado de la función tiroidea durante el primer trimestre del embarazo para optimizar la salud materna y fetal. En conclusión, el hipotiroidismo en mujeres en edad fértil es una condición que requiere atención médica especializada; un diagnóstico temprano y un manejo adecuado son esenciales para mejorar la fertilidad y reducir las complicaciones obstétricas. </w:t>
      </w:r>
    </w:p>
    <w:p w14:paraId="57471949" w14:textId="77777777" w:rsidR="00693790" w:rsidRDefault="00693790" w:rsidP="00143EDA">
      <w:pPr>
        <w:pStyle w:val="Prrafodelista"/>
        <w:ind w:left="720" w:firstLine="0"/>
        <w:rPr>
          <w:color w:val="000000" w:themeColor="text1"/>
          <w:sz w:val="24"/>
          <w:szCs w:val="24"/>
        </w:rPr>
      </w:pPr>
    </w:p>
    <w:p w14:paraId="24DD6B49" w14:textId="77777777" w:rsidR="00693790" w:rsidRDefault="00693790" w:rsidP="00143EDA">
      <w:pPr>
        <w:pStyle w:val="Prrafodelista"/>
        <w:ind w:left="720" w:firstLine="0"/>
        <w:rPr>
          <w:color w:val="000000" w:themeColor="text1"/>
          <w:sz w:val="24"/>
          <w:szCs w:val="24"/>
        </w:rPr>
      </w:pPr>
    </w:p>
    <w:p w14:paraId="394283B7" w14:textId="77777777" w:rsidR="00693790" w:rsidRDefault="00693790" w:rsidP="00143EDA">
      <w:pPr>
        <w:pStyle w:val="Prrafodelista"/>
        <w:ind w:left="720" w:firstLine="0"/>
        <w:rPr>
          <w:color w:val="000000" w:themeColor="text1"/>
          <w:sz w:val="24"/>
          <w:szCs w:val="24"/>
        </w:rPr>
      </w:pPr>
    </w:p>
    <w:p w14:paraId="4008A4B8" w14:textId="77777777" w:rsidR="00693790" w:rsidRDefault="00693790" w:rsidP="00143EDA">
      <w:pPr>
        <w:pStyle w:val="Prrafodelista"/>
        <w:ind w:left="720" w:firstLine="0"/>
        <w:rPr>
          <w:color w:val="000000" w:themeColor="text1"/>
          <w:sz w:val="24"/>
          <w:szCs w:val="24"/>
        </w:rPr>
      </w:pPr>
    </w:p>
    <w:p w14:paraId="7DE5FDCB" w14:textId="77777777" w:rsidR="00693790" w:rsidRDefault="00693790" w:rsidP="00143EDA">
      <w:pPr>
        <w:pStyle w:val="Prrafodelista"/>
        <w:ind w:left="720" w:firstLine="0"/>
        <w:rPr>
          <w:color w:val="000000" w:themeColor="text1"/>
          <w:sz w:val="24"/>
          <w:szCs w:val="24"/>
        </w:rPr>
      </w:pPr>
    </w:p>
    <w:p w14:paraId="53278C2E" w14:textId="77777777" w:rsidR="00693790" w:rsidRDefault="00693790" w:rsidP="00143EDA">
      <w:pPr>
        <w:pStyle w:val="Prrafodelista"/>
        <w:ind w:left="720" w:firstLine="0"/>
        <w:rPr>
          <w:color w:val="000000" w:themeColor="text1"/>
          <w:sz w:val="24"/>
          <w:szCs w:val="24"/>
        </w:rPr>
      </w:pPr>
    </w:p>
    <w:p w14:paraId="5177930C" w14:textId="77777777" w:rsidR="00693790" w:rsidRDefault="00693790" w:rsidP="00143EDA">
      <w:pPr>
        <w:pStyle w:val="Prrafodelista"/>
        <w:ind w:left="720" w:firstLine="0"/>
        <w:rPr>
          <w:color w:val="000000" w:themeColor="text1"/>
          <w:sz w:val="24"/>
          <w:szCs w:val="24"/>
        </w:rPr>
      </w:pPr>
    </w:p>
    <w:p w14:paraId="0865A457" w14:textId="77777777" w:rsidR="00693790" w:rsidRDefault="00693790" w:rsidP="00143EDA">
      <w:pPr>
        <w:pStyle w:val="Prrafodelista"/>
        <w:ind w:left="720" w:firstLine="0"/>
        <w:rPr>
          <w:color w:val="000000" w:themeColor="text1"/>
          <w:sz w:val="24"/>
          <w:szCs w:val="24"/>
        </w:rPr>
      </w:pPr>
    </w:p>
    <w:p w14:paraId="432B665F" w14:textId="77777777" w:rsidR="00693790" w:rsidRDefault="00693790" w:rsidP="00143EDA">
      <w:pPr>
        <w:pStyle w:val="Prrafodelista"/>
        <w:ind w:left="720" w:firstLine="0"/>
        <w:rPr>
          <w:color w:val="000000" w:themeColor="text1"/>
          <w:sz w:val="24"/>
          <w:szCs w:val="24"/>
        </w:rPr>
      </w:pPr>
    </w:p>
    <w:p w14:paraId="58E735C4" w14:textId="77777777" w:rsidR="00693790" w:rsidRDefault="00693790" w:rsidP="00143EDA">
      <w:pPr>
        <w:pStyle w:val="Prrafodelista"/>
        <w:ind w:left="720" w:firstLine="0"/>
        <w:rPr>
          <w:color w:val="000000" w:themeColor="text1"/>
          <w:sz w:val="24"/>
          <w:szCs w:val="24"/>
        </w:rPr>
      </w:pPr>
    </w:p>
    <w:p w14:paraId="2A54295A" w14:textId="6DC20265" w:rsidR="002A3C29" w:rsidRPr="00693790" w:rsidRDefault="002C2DFC" w:rsidP="00693790">
      <w:pPr>
        <w:jc w:val="both"/>
        <w:rPr>
          <w:color w:val="000000" w:themeColor="text1"/>
          <w:sz w:val="24"/>
          <w:szCs w:val="24"/>
        </w:rPr>
      </w:pPr>
      <w:r w:rsidRPr="00693790">
        <w:rPr>
          <w:color w:val="000000" w:themeColor="text1"/>
          <w:sz w:val="24"/>
          <w:szCs w:val="24"/>
        </w:rPr>
        <w:t>La investigación futura debe enfocarse en establecer pautas claras para el tratamiento del hipotiroidismo subclínico en mujeres que desean concebir, asegurando así mejores resultados en salud reproductiva.</w:t>
      </w:r>
    </w:p>
    <w:p w14:paraId="2B7A2591" w14:textId="06DC9EFA" w:rsidR="000D2EE1" w:rsidRPr="00693790" w:rsidRDefault="00772839" w:rsidP="00693790">
      <w:pPr>
        <w:spacing w:before="120" w:after="120" w:line="276" w:lineRule="auto"/>
        <w:jc w:val="both"/>
        <w:rPr>
          <w:rFonts w:eastAsia="Times New Roman"/>
          <w:b/>
          <w:bCs/>
          <w:iCs/>
          <w:sz w:val="24"/>
          <w:szCs w:val="24"/>
          <w:lang w:val="es-EC" w:eastAsia="es-ES"/>
        </w:rPr>
      </w:pPr>
      <w:r w:rsidRPr="00693790">
        <w:rPr>
          <w:noProof/>
          <w:sz w:val="24"/>
          <w:szCs w:val="24"/>
        </w:rPr>
        <w:drawing>
          <wp:anchor distT="0" distB="0" distL="0" distR="0" simplePos="0" relativeHeight="251692032" behindDoc="1" locked="0" layoutInCell="1" allowOverlap="1" wp14:anchorId="4A7C2FD4" wp14:editId="4F633709">
            <wp:simplePos x="0" y="0"/>
            <wp:positionH relativeFrom="page">
              <wp:posOffset>754381</wp:posOffset>
            </wp:positionH>
            <wp:positionV relativeFrom="page">
              <wp:posOffset>1013460</wp:posOffset>
            </wp:positionV>
            <wp:extent cx="6377940" cy="9485630"/>
            <wp:effectExtent l="0" t="0" r="3810" b="1270"/>
            <wp:wrapNone/>
            <wp:docPr id="1014974543"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74543" name="image2.png" descr="Patrón de fondo&#10;&#10;Descripción generada automáticamente con confianza media"/>
                    <pic:cNvPicPr/>
                  </pic:nvPicPr>
                  <pic:blipFill>
                    <a:blip r:embed="rId10" cstate="print"/>
                    <a:stretch>
                      <a:fillRect/>
                    </a:stretch>
                  </pic:blipFill>
                  <pic:spPr>
                    <a:xfrm>
                      <a:off x="0" y="0"/>
                      <a:ext cx="6378290" cy="9486151"/>
                    </a:xfrm>
                    <a:prstGeom prst="rect">
                      <a:avLst/>
                    </a:prstGeom>
                  </pic:spPr>
                </pic:pic>
              </a:graphicData>
            </a:graphic>
            <wp14:sizeRelH relativeFrom="margin">
              <wp14:pctWidth>0</wp14:pctWidth>
            </wp14:sizeRelH>
            <wp14:sizeRelV relativeFrom="margin">
              <wp14:pctHeight>0</wp14:pctHeight>
            </wp14:sizeRelV>
          </wp:anchor>
        </w:drawing>
      </w:r>
      <w:r w:rsidR="00171968" w:rsidRPr="00693790">
        <w:rPr>
          <w:rFonts w:eastAsia="Times New Roman"/>
          <w:b/>
          <w:bCs/>
          <w:iCs/>
          <w:sz w:val="24"/>
          <w:szCs w:val="24"/>
          <w:lang w:val="es-EC" w:eastAsia="es-ES"/>
        </w:rPr>
        <w:t>Palabra</w:t>
      </w:r>
      <w:r w:rsidR="00BF6DE4" w:rsidRPr="00693790">
        <w:rPr>
          <w:rFonts w:eastAsia="Times New Roman"/>
          <w:b/>
          <w:bCs/>
          <w:iCs/>
          <w:sz w:val="24"/>
          <w:szCs w:val="24"/>
          <w:lang w:val="es-EC" w:eastAsia="es-ES"/>
        </w:rPr>
        <w:t>s</w:t>
      </w:r>
      <w:r w:rsidR="00171968" w:rsidRPr="00693790">
        <w:rPr>
          <w:rFonts w:eastAsia="Times New Roman"/>
          <w:b/>
          <w:bCs/>
          <w:iCs/>
          <w:sz w:val="24"/>
          <w:szCs w:val="24"/>
          <w:lang w:val="es-EC" w:eastAsia="es-ES"/>
        </w:rPr>
        <w:t xml:space="preserve"> clave:</w:t>
      </w:r>
      <w:r w:rsidR="002C2DFC" w:rsidRPr="00693790">
        <w:rPr>
          <w:color w:val="000000" w:themeColor="text1"/>
          <w:sz w:val="24"/>
          <w:szCs w:val="24"/>
        </w:rPr>
        <w:t xml:space="preserve"> Enfermedades Tiroideas, Alteraciones de TSH, Embarazo, Edad fértil, enfermedades endocrinas</w:t>
      </w:r>
      <w:r w:rsidR="00B73F43" w:rsidRPr="00693790">
        <w:rPr>
          <w:rFonts w:eastAsia="Times New Roman"/>
          <w:bCs/>
          <w:sz w:val="24"/>
          <w:szCs w:val="24"/>
          <w:lang w:val="es-EC" w:eastAsia="es-ES"/>
        </w:rPr>
        <w:t>.</w:t>
      </w:r>
    </w:p>
    <w:p w14:paraId="080003DF" w14:textId="77777777" w:rsidR="000D2EE1" w:rsidRPr="00693790" w:rsidRDefault="00CE315E" w:rsidP="00693790">
      <w:pPr>
        <w:pStyle w:val="Ttulo1"/>
        <w:spacing w:before="215"/>
        <w:jc w:val="both"/>
        <w:rPr>
          <w:lang w:val="en-US"/>
        </w:rPr>
      </w:pPr>
      <w:r w:rsidRPr="00693790">
        <w:rPr>
          <w:lang w:val="en-US"/>
        </w:rPr>
        <w:t>ABSTRACT</w:t>
      </w:r>
    </w:p>
    <w:p w14:paraId="160DBB26" w14:textId="77777777" w:rsidR="00E709A0" w:rsidRDefault="002C2DFC" w:rsidP="00693790">
      <w:pPr>
        <w:spacing w:before="120" w:after="120" w:line="276" w:lineRule="auto"/>
        <w:jc w:val="both"/>
        <w:rPr>
          <w:rFonts w:eastAsia="Times New Roman"/>
          <w:sz w:val="24"/>
          <w:szCs w:val="24"/>
          <w:lang w:val="en-US" w:eastAsia="es-ES"/>
        </w:rPr>
      </w:pPr>
      <w:r w:rsidRPr="00693790">
        <w:rPr>
          <w:rFonts w:eastAsia="Times New Roman"/>
          <w:sz w:val="24"/>
          <w:szCs w:val="24"/>
          <w:lang w:val="en-US" w:eastAsia="es-ES"/>
        </w:rPr>
        <w:t xml:space="preserve">Hypothyroidism, a common condition in women of childbearing age, is characterized by insufficient production of thyroid hormones (T3 and T4), which can negatively affect fertility and pregnancy outcomes. This study aimed to analyze the diagnostic methods and treatment of hypothyroidism in this population group, as well as its clinical implications </w:t>
      </w:r>
      <w:proofErr w:type="gramStart"/>
      <w:r w:rsidRPr="00693790">
        <w:rPr>
          <w:rFonts w:eastAsia="Times New Roman"/>
          <w:sz w:val="24"/>
          <w:szCs w:val="24"/>
          <w:lang w:val="en-US" w:eastAsia="es-ES"/>
        </w:rPr>
        <w:t>in order to</w:t>
      </w:r>
      <w:proofErr w:type="gramEnd"/>
      <w:r w:rsidRPr="00693790">
        <w:rPr>
          <w:rFonts w:eastAsia="Times New Roman"/>
          <w:sz w:val="24"/>
          <w:szCs w:val="24"/>
          <w:lang w:val="en-US" w:eastAsia="es-ES"/>
        </w:rPr>
        <w:t xml:space="preserve"> update this topic. A comprehensive literature review was performed using databases such as PubMed and </w:t>
      </w:r>
      <w:proofErr w:type="spellStart"/>
      <w:r w:rsidRPr="00693790">
        <w:rPr>
          <w:rFonts w:eastAsia="Times New Roman"/>
          <w:sz w:val="24"/>
          <w:szCs w:val="24"/>
          <w:lang w:val="en-US" w:eastAsia="es-ES"/>
        </w:rPr>
        <w:t>SciELO</w:t>
      </w:r>
      <w:proofErr w:type="spellEnd"/>
      <w:r w:rsidRPr="00693790">
        <w:rPr>
          <w:rFonts w:eastAsia="Times New Roman"/>
          <w:sz w:val="24"/>
          <w:szCs w:val="24"/>
          <w:lang w:val="en-US" w:eastAsia="es-ES"/>
        </w:rPr>
        <w:t xml:space="preserve">, selecting 32 relevant sources that address the diagnosis, treatment and complications of hypothyroidism. The results indicate that the measurement of TSH and free T4 are essential for diagnosis, while levothyroxine is the standard treatment that improves reproductive outcomes. It is highlighted that hypothyroidism, both manifest and subclinical, is associated with menstrual irregularities and an increased rate of spontaneous abortions. In addition, thyroid function screening is recommended during the first trimester of pregnancy to optimize maternal and fetal health. In conclusion, hypothyroidism in women of childbearing age is a condition that requires specialized medical </w:t>
      </w:r>
      <w:proofErr w:type="gramStart"/>
      <w:r w:rsidRPr="00693790">
        <w:rPr>
          <w:rFonts w:eastAsia="Times New Roman"/>
          <w:sz w:val="24"/>
          <w:szCs w:val="24"/>
          <w:lang w:val="en-US" w:eastAsia="es-ES"/>
        </w:rPr>
        <w:t>care;</w:t>
      </w:r>
      <w:proofErr w:type="gramEnd"/>
      <w:r w:rsidRPr="00693790">
        <w:rPr>
          <w:rFonts w:eastAsia="Times New Roman"/>
          <w:sz w:val="24"/>
          <w:szCs w:val="24"/>
          <w:lang w:val="en-US" w:eastAsia="es-ES"/>
        </w:rPr>
        <w:t xml:space="preserve"> </w:t>
      </w:r>
    </w:p>
    <w:p w14:paraId="27CB7B1A" w14:textId="77777777" w:rsidR="00E709A0" w:rsidRDefault="00E709A0" w:rsidP="00693790">
      <w:pPr>
        <w:spacing w:before="120" w:after="120" w:line="276" w:lineRule="auto"/>
        <w:jc w:val="both"/>
        <w:rPr>
          <w:rFonts w:eastAsia="Times New Roman"/>
          <w:sz w:val="24"/>
          <w:szCs w:val="24"/>
          <w:lang w:val="en-US" w:eastAsia="es-ES"/>
        </w:rPr>
      </w:pPr>
    </w:p>
    <w:p w14:paraId="271D1A98" w14:textId="77777777" w:rsidR="00E709A0" w:rsidRDefault="00E709A0" w:rsidP="00693790">
      <w:pPr>
        <w:spacing w:before="120" w:after="120" w:line="276" w:lineRule="auto"/>
        <w:jc w:val="both"/>
        <w:rPr>
          <w:rFonts w:eastAsia="Times New Roman"/>
          <w:sz w:val="24"/>
          <w:szCs w:val="24"/>
          <w:lang w:val="en-US" w:eastAsia="es-ES"/>
        </w:rPr>
      </w:pPr>
    </w:p>
    <w:p w14:paraId="31DC505C" w14:textId="1129B491" w:rsidR="00BF6DE4" w:rsidRPr="00693790" w:rsidRDefault="002C2DFC" w:rsidP="00693790">
      <w:pPr>
        <w:spacing w:before="120" w:after="120" w:line="276" w:lineRule="auto"/>
        <w:jc w:val="both"/>
        <w:rPr>
          <w:rFonts w:eastAsia="Times New Roman"/>
          <w:sz w:val="24"/>
          <w:szCs w:val="24"/>
          <w:lang w:val="en-US" w:eastAsia="es-ES"/>
        </w:rPr>
      </w:pPr>
      <w:r w:rsidRPr="00693790">
        <w:rPr>
          <w:rFonts w:eastAsia="Times New Roman"/>
          <w:sz w:val="24"/>
          <w:szCs w:val="24"/>
          <w:lang w:val="en-US" w:eastAsia="es-ES"/>
        </w:rPr>
        <w:t xml:space="preserve">early diagnosis and adequate management are essential to improve fertility </w:t>
      </w:r>
      <w:r w:rsidR="00E709A0" w:rsidRPr="00693790">
        <w:rPr>
          <w:rFonts w:eastAsia="Times New Roman"/>
          <w:sz w:val="24"/>
          <w:szCs w:val="24"/>
          <w:lang w:val="en-US" w:eastAsia="es-ES"/>
        </w:rPr>
        <w:t xml:space="preserve">and </w:t>
      </w:r>
      <w:r w:rsidR="00E709A0">
        <w:rPr>
          <w:rFonts w:eastAsia="Times New Roman"/>
          <w:sz w:val="24"/>
          <w:szCs w:val="24"/>
          <w:lang w:val="en-US" w:eastAsia="es-ES"/>
        </w:rPr>
        <w:t>reduce</w:t>
      </w:r>
      <w:r w:rsidRPr="00693790">
        <w:rPr>
          <w:rFonts w:eastAsia="Times New Roman"/>
          <w:sz w:val="24"/>
          <w:szCs w:val="24"/>
          <w:lang w:val="en-US" w:eastAsia="es-ES"/>
        </w:rPr>
        <w:t xml:space="preserve"> obstetric </w:t>
      </w:r>
      <w:proofErr w:type="spellStart"/>
      <w:proofErr w:type="gramStart"/>
      <w:r w:rsidRPr="00693790">
        <w:rPr>
          <w:rFonts w:eastAsia="Times New Roman"/>
          <w:sz w:val="24"/>
          <w:szCs w:val="24"/>
          <w:lang w:val="en-US" w:eastAsia="es-ES"/>
        </w:rPr>
        <w:t>complications.Future</w:t>
      </w:r>
      <w:proofErr w:type="spellEnd"/>
      <w:proofErr w:type="gramEnd"/>
      <w:r w:rsidRPr="00693790">
        <w:rPr>
          <w:rFonts w:eastAsia="Times New Roman"/>
          <w:sz w:val="24"/>
          <w:szCs w:val="24"/>
          <w:lang w:val="en-US" w:eastAsia="es-ES"/>
        </w:rPr>
        <w:t xml:space="preserve"> research should focus on establishing clear guidelines for the treatment of subclinical hypothyroidism in women who wish to conceive, thus ensuring better reproductive health outcomes.</w:t>
      </w:r>
    </w:p>
    <w:p w14:paraId="595A3BEB" w14:textId="2D5F9A74" w:rsidR="000D2EE1" w:rsidRPr="002911E9" w:rsidRDefault="00171968" w:rsidP="00693790">
      <w:pPr>
        <w:spacing w:before="120" w:after="120" w:line="276" w:lineRule="auto"/>
        <w:jc w:val="both"/>
        <w:rPr>
          <w:rFonts w:asciiTheme="majorHAnsi" w:eastAsia="Times New Roman" w:hAnsiTheme="majorHAnsi" w:cstheme="majorHAnsi"/>
          <w:bCs/>
          <w:lang w:val="en-US" w:eastAsia="es-ES"/>
        </w:rPr>
        <w:sectPr w:rsidR="000D2EE1" w:rsidRPr="002911E9">
          <w:type w:val="continuous"/>
          <w:pgSz w:w="11910" w:h="16840"/>
          <w:pgMar w:top="1580" w:right="1320" w:bottom="280" w:left="1200" w:header="720" w:footer="720" w:gutter="0"/>
          <w:cols w:num="2" w:space="720" w:equalWidth="0">
            <w:col w:w="4148" w:space="796"/>
            <w:col w:w="4446"/>
          </w:cols>
        </w:sectPr>
      </w:pPr>
      <w:r w:rsidRPr="00693790">
        <w:rPr>
          <w:rFonts w:eastAsia="Times New Roman"/>
          <w:b/>
          <w:bCs/>
          <w:sz w:val="24"/>
          <w:szCs w:val="24"/>
          <w:lang w:val="en-US" w:eastAsia="es-ES"/>
        </w:rPr>
        <w:t>Ke</w:t>
      </w:r>
      <w:r w:rsidR="00BF6DE4" w:rsidRPr="00693790">
        <w:rPr>
          <w:rFonts w:eastAsia="Times New Roman"/>
          <w:b/>
          <w:bCs/>
          <w:sz w:val="24"/>
          <w:szCs w:val="24"/>
          <w:lang w:val="en-US" w:eastAsia="es-ES"/>
        </w:rPr>
        <w:t xml:space="preserve">y </w:t>
      </w:r>
      <w:r w:rsidRPr="00693790">
        <w:rPr>
          <w:rFonts w:eastAsia="Times New Roman"/>
          <w:b/>
          <w:bCs/>
          <w:sz w:val="24"/>
          <w:szCs w:val="24"/>
          <w:lang w:val="en-US" w:eastAsia="es-ES"/>
        </w:rPr>
        <w:t>words</w:t>
      </w:r>
      <w:r w:rsidRPr="00693790">
        <w:rPr>
          <w:rFonts w:eastAsia="Times New Roman"/>
          <w:sz w:val="24"/>
          <w:szCs w:val="24"/>
          <w:lang w:val="en-US" w:eastAsia="es-ES"/>
        </w:rPr>
        <w:t>:</w:t>
      </w:r>
      <w:r w:rsidR="00B73F43" w:rsidRPr="00693790">
        <w:rPr>
          <w:sz w:val="24"/>
          <w:szCs w:val="24"/>
          <w:lang w:val="en-US"/>
        </w:rPr>
        <w:t xml:space="preserve"> </w:t>
      </w:r>
      <w:bookmarkStart w:id="0" w:name="_Hlk178594064"/>
      <w:r w:rsidR="002C2DFC" w:rsidRPr="00693790">
        <w:rPr>
          <w:color w:val="000000" w:themeColor="text1"/>
          <w:sz w:val="24"/>
          <w:szCs w:val="24"/>
          <w:lang w:val="en-US"/>
        </w:rPr>
        <w:t xml:space="preserve">thyroid diseases, </w:t>
      </w:r>
      <w:r w:rsidR="00E709A0">
        <w:rPr>
          <w:color w:val="000000" w:themeColor="text1"/>
          <w:sz w:val="24"/>
          <w:szCs w:val="24"/>
          <w:lang w:val="en-US"/>
        </w:rPr>
        <w:t>TSH</w:t>
      </w:r>
      <w:r w:rsidR="002C2DFC" w:rsidRPr="00693790">
        <w:rPr>
          <w:color w:val="000000" w:themeColor="text1"/>
          <w:sz w:val="24"/>
          <w:szCs w:val="24"/>
          <w:lang w:val="en-US"/>
        </w:rPr>
        <w:t xml:space="preserve"> disorders, pregnancy, fertile age, endocrine </w:t>
      </w:r>
      <w:proofErr w:type="spellStart"/>
      <w:r w:rsidR="002C2DFC" w:rsidRPr="00693790">
        <w:rPr>
          <w:color w:val="000000" w:themeColor="text1"/>
          <w:sz w:val="24"/>
          <w:szCs w:val="24"/>
          <w:lang w:val="en-US"/>
        </w:rPr>
        <w:t>diseas</w:t>
      </w:r>
      <w:bookmarkEnd w:id="0"/>
      <w:proofErr w:type="spellEnd"/>
    </w:p>
    <w:p w14:paraId="6B3E6958" w14:textId="2EB6476C" w:rsidR="000D2EE1" w:rsidRPr="00287991" w:rsidRDefault="00F159DF">
      <w:pPr>
        <w:pStyle w:val="Textoindependiente"/>
        <w:spacing w:before="1"/>
        <w:rPr>
          <w:lang w:val="en-US"/>
        </w:rPr>
      </w:pPr>
      <w:r>
        <w:rPr>
          <w:noProof/>
        </w:rPr>
        <w:lastRenderedPageBreak/>
        <w:drawing>
          <wp:anchor distT="0" distB="0" distL="0" distR="0" simplePos="0" relativeHeight="251635712" behindDoc="1" locked="0" layoutInCell="1" allowOverlap="1" wp14:anchorId="1AE8FCA9" wp14:editId="0F857680">
            <wp:simplePos x="0" y="0"/>
            <wp:positionH relativeFrom="page">
              <wp:posOffset>342900</wp:posOffset>
            </wp:positionH>
            <wp:positionV relativeFrom="margin">
              <wp:posOffset>-96520</wp:posOffset>
            </wp:positionV>
            <wp:extent cx="6581231" cy="94107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6583779" cy="9414344"/>
                    </a:xfrm>
                    <a:prstGeom prst="rect">
                      <a:avLst/>
                    </a:prstGeom>
                  </pic:spPr>
                </pic:pic>
              </a:graphicData>
            </a:graphic>
            <wp14:sizeRelH relativeFrom="margin">
              <wp14:pctWidth>0</wp14:pctWidth>
            </wp14:sizeRelH>
            <wp14:sizeRelV relativeFrom="margin">
              <wp14:pctHeight>0</wp14:pctHeight>
            </wp14:sizeRelV>
          </wp:anchor>
        </w:drawing>
      </w:r>
    </w:p>
    <w:p w14:paraId="545C4057" w14:textId="04529DE0" w:rsidR="000D2EE1" w:rsidRDefault="00CE315E" w:rsidP="00143EDA">
      <w:pPr>
        <w:pStyle w:val="Ttulo1"/>
        <w:numPr>
          <w:ilvl w:val="0"/>
          <w:numId w:val="15"/>
        </w:numPr>
        <w:spacing w:before="1"/>
        <w:rPr>
          <w:lang w:val="es-MX"/>
        </w:rPr>
      </w:pPr>
      <w:r w:rsidRPr="00171968">
        <w:rPr>
          <w:lang w:val="es-MX"/>
        </w:rPr>
        <w:t>INTRODUCCIÓN</w:t>
      </w:r>
    </w:p>
    <w:p w14:paraId="4761FB16" w14:textId="77777777" w:rsidR="00CA1404" w:rsidRPr="00171968" w:rsidRDefault="00CA1404" w:rsidP="00CA1404">
      <w:pPr>
        <w:pStyle w:val="Ttulo1"/>
        <w:spacing w:before="1"/>
        <w:ind w:left="720"/>
        <w:rPr>
          <w:lang w:val="es-MX"/>
        </w:rPr>
      </w:pPr>
    </w:p>
    <w:p w14:paraId="5457338F" w14:textId="77777777" w:rsidR="000D2EE1" w:rsidRDefault="000D2EE1" w:rsidP="000E60E7">
      <w:pPr>
        <w:pStyle w:val="Textoindependiente"/>
        <w:spacing w:before="182"/>
        <w:ind w:left="105" w:right="108"/>
        <w:jc w:val="both"/>
        <w:rPr>
          <w:lang w:val="es-MX"/>
        </w:rPr>
      </w:pPr>
    </w:p>
    <w:p w14:paraId="3B3096FB" w14:textId="6BDA79D2" w:rsidR="000E60E7" w:rsidRPr="00171968" w:rsidRDefault="000E60E7" w:rsidP="000E60E7">
      <w:pPr>
        <w:pStyle w:val="Textoindependiente"/>
        <w:spacing w:before="182"/>
        <w:ind w:left="105" w:right="108"/>
        <w:jc w:val="both"/>
        <w:rPr>
          <w:lang w:val="es-MX"/>
        </w:rPr>
        <w:sectPr w:rsidR="000E60E7" w:rsidRPr="00171968">
          <w:pgSz w:w="11910" w:h="16840"/>
          <w:pgMar w:top="1580" w:right="1320" w:bottom="280" w:left="1200" w:header="720" w:footer="720" w:gutter="0"/>
          <w:cols w:num="2" w:space="720" w:equalWidth="0">
            <w:col w:w="4370" w:space="574"/>
            <w:col w:w="4446"/>
          </w:cols>
        </w:sectPr>
      </w:pPr>
    </w:p>
    <w:p w14:paraId="1D836EF2" w14:textId="77777777" w:rsidR="002C2DFC" w:rsidRDefault="002C2DFC" w:rsidP="00E709A0">
      <w:pPr>
        <w:pStyle w:val="Textoindependiente"/>
        <w:spacing w:before="10" w:line="276" w:lineRule="auto"/>
        <w:ind w:left="105"/>
        <w:jc w:val="both"/>
        <w:rPr>
          <w:rFonts w:asciiTheme="minorHAnsi" w:hAnsiTheme="minorHAnsi" w:cstheme="minorHAnsi"/>
        </w:rPr>
      </w:pPr>
      <w:r w:rsidRPr="00143EDA">
        <w:rPr>
          <w:rFonts w:asciiTheme="minorHAnsi" w:hAnsiTheme="minorHAnsi" w:cstheme="minorHAnsi"/>
        </w:rPr>
        <w:t xml:space="preserve">El hipotiroidismo, también conocido como tiroides hipoactiva, ocurre cuando la glándula tiroides no produce suficientes hormonas tiroideas (T3 y T4) para satisfacer las necesidades del organismo. Esto puede llevar a una desaceleración de las funciones metabólicas y a una variedad de síntomas físicos y psicológicos. Afecta a todas las funciones de la tiroides como la regular el metabolismo, la frecuencia cardíaca, la temperatura corporal y otros procesos vitales mediante la producción de las hormonas (1). </w:t>
      </w:r>
    </w:p>
    <w:p w14:paraId="2EB82607" w14:textId="77777777" w:rsidR="00BC103B" w:rsidRPr="00143EDA" w:rsidRDefault="00BC103B" w:rsidP="00E709A0">
      <w:pPr>
        <w:pStyle w:val="Textoindependiente"/>
        <w:spacing w:before="10" w:line="276" w:lineRule="auto"/>
        <w:ind w:left="105"/>
        <w:jc w:val="both"/>
        <w:rPr>
          <w:rFonts w:asciiTheme="minorHAnsi" w:hAnsiTheme="minorHAnsi" w:cstheme="minorHAnsi"/>
        </w:rPr>
      </w:pPr>
    </w:p>
    <w:p w14:paraId="5643EBF7" w14:textId="77777777" w:rsidR="002C2DFC" w:rsidRPr="00143EDA" w:rsidRDefault="002C2DFC" w:rsidP="00E709A0">
      <w:pPr>
        <w:pStyle w:val="Textoindependiente"/>
        <w:spacing w:before="10" w:line="276" w:lineRule="auto"/>
        <w:ind w:left="105"/>
        <w:jc w:val="both"/>
        <w:rPr>
          <w:rFonts w:asciiTheme="minorHAnsi" w:hAnsiTheme="minorHAnsi" w:cstheme="minorHAnsi"/>
        </w:rPr>
      </w:pPr>
      <w:r w:rsidRPr="00143EDA">
        <w:rPr>
          <w:rFonts w:asciiTheme="minorHAnsi" w:hAnsiTheme="minorHAnsi" w:cstheme="minorHAnsi"/>
        </w:rPr>
        <w:t>Es una condición común, especialmente entre mujeres y personas mayores, requiere la medición de los niveles de TSH y hormonas tiroideas para diagnosticarla. Entre los factores etiológicos del Hipotiroidismo se sostienen causas frecuentes como la tiroiditis de Hashimoto, deficiencia de Yodo que es común en países subdesarrollados, tratamientos Médicos como la radioterapia en el cuello o el uso de yodo radiactivo, procedimientos quirúrgicos como extirpación parcial o total de la tiroides debido a cáncer u otros problemas puede resultar en hipotiroidismo; fármacos. Además, el Hipotiroidismo Subclínico donde los niveles de TSH están elevados mientras que los niveles de T4 libre permanecen normales, sin síntomas evidentes que puede afectar la fertilidad.</w:t>
      </w:r>
    </w:p>
    <w:p w14:paraId="21A4FE30" w14:textId="77777777" w:rsidR="00E709A0" w:rsidRDefault="002C2DFC" w:rsidP="00E709A0">
      <w:pPr>
        <w:pStyle w:val="Textoindependiente"/>
        <w:spacing w:before="10" w:line="276" w:lineRule="auto"/>
        <w:ind w:left="105"/>
        <w:jc w:val="both"/>
        <w:rPr>
          <w:rFonts w:asciiTheme="minorHAnsi" w:hAnsiTheme="minorHAnsi" w:cstheme="minorHAnsi"/>
        </w:rPr>
      </w:pPr>
      <w:r w:rsidRPr="00143EDA">
        <w:rPr>
          <w:rFonts w:asciiTheme="minorHAnsi" w:hAnsiTheme="minorHAnsi" w:cstheme="minorHAnsi"/>
        </w:rPr>
        <w:t>Respecto a las mujeres de edad fértil es relevante ya que afecta las enfermedades tiroideas afectan hasta el 4% de los embarazos, siendo la segunda causa más común de enfermedad endocrina que afecta a la mujer en edad reproductiva.</w:t>
      </w:r>
    </w:p>
    <w:p w14:paraId="24ABBE24" w14:textId="77777777" w:rsidR="00E709A0" w:rsidRDefault="00E709A0" w:rsidP="00E709A0">
      <w:pPr>
        <w:pStyle w:val="Textoindependiente"/>
        <w:spacing w:before="10" w:line="276" w:lineRule="auto"/>
        <w:ind w:left="105"/>
        <w:jc w:val="both"/>
        <w:rPr>
          <w:rFonts w:asciiTheme="minorHAnsi" w:hAnsiTheme="minorHAnsi" w:cstheme="minorHAnsi"/>
        </w:rPr>
      </w:pPr>
    </w:p>
    <w:p w14:paraId="06C04976" w14:textId="51B8413E" w:rsidR="002C2DFC" w:rsidRDefault="002C2DFC" w:rsidP="00E709A0">
      <w:pPr>
        <w:pStyle w:val="Textoindependiente"/>
        <w:spacing w:before="10" w:line="276" w:lineRule="auto"/>
        <w:ind w:left="105"/>
        <w:jc w:val="both"/>
        <w:rPr>
          <w:rFonts w:asciiTheme="minorHAnsi" w:hAnsiTheme="minorHAnsi" w:cstheme="minorHAnsi"/>
        </w:rPr>
      </w:pPr>
      <w:r w:rsidRPr="00143EDA">
        <w:rPr>
          <w:rFonts w:asciiTheme="minorHAnsi" w:hAnsiTheme="minorHAnsi" w:cstheme="minorHAnsi"/>
        </w:rPr>
        <w:t xml:space="preserve"> La deficiencia o exceso de hormonas tiroideas pueden resultar en morbilidad significativa en ausencia de un manejo adecuado. Posibles efectos adversos relacionados son el aumento en la prevalencia de abortos, hemorragia posparto, desprendimiento prematuro de la placenta, hipertensión gestacional, parto pretérmino, lesión cerebral en el neonato y alteraciones en el neurodesarrollo, quiere decir que este grupo de enfermedades tienen repercusiones importantes durante la gestación (2).</w:t>
      </w:r>
    </w:p>
    <w:p w14:paraId="7C04045D" w14:textId="77777777" w:rsidR="00BC103B" w:rsidRPr="00143EDA" w:rsidRDefault="00BC103B" w:rsidP="00E709A0">
      <w:pPr>
        <w:pStyle w:val="Textoindependiente"/>
        <w:spacing w:before="10" w:line="276" w:lineRule="auto"/>
        <w:ind w:left="105"/>
        <w:jc w:val="both"/>
        <w:rPr>
          <w:rFonts w:asciiTheme="minorHAnsi" w:hAnsiTheme="minorHAnsi" w:cstheme="minorHAnsi"/>
        </w:rPr>
      </w:pPr>
    </w:p>
    <w:p w14:paraId="19CEE878" w14:textId="77777777" w:rsidR="002C2DFC" w:rsidRPr="00143EDA" w:rsidRDefault="002C2DFC" w:rsidP="00E709A0">
      <w:pPr>
        <w:pStyle w:val="Textoindependiente"/>
        <w:spacing w:before="10" w:line="276" w:lineRule="auto"/>
        <w:ind w:left="105"/>
        <w:jc w:val="both"/>
        <w:rPr>
          <w:rFonts w:asciiTheme="minorHAnsi" w:hAnsiTheme="minorHAnsi" w:cstheme="minorHAnsi"/>
        </w:rPr>
      </w:pPr>
      <w:r w:rsidRPr="00143EDA">
        <w:rPr>
          <w:rFonts w:asciiTheme="minorHAnsi" w:hAnsiTheme="minorHAnsi" w:cstheme="minorHAnsi"/>
        </w:rPr>
        <w:t>En su clasificación se ha descrito el hipotiroidismo primario secundario, congénito y subclínico. Respecto a la prevalencia el Hipotiroidismo subclínico afecta entre el 2-4% de mujeres en edad reproductiva, el hipotiroidismo manifiesto tiene una prevalencia del 1-2%, la seropositividad a anticuerpos antitiroideos es del 60-80% en hipotiroidismo subclínico y &gt;90% en hipotiroidismo manifiesto.</w:t>
      </w:r>
    </w:p>
    <w:p w14:paraId="7E003E97" w14:textId="77777777" w:rsidR="00E709A0" w:rsidRDefault="002C2DFC" w:rsidP="00E709A0">
      <w:pPr>
        <w:pStyle w:val="Textoindependiente"/>
        <w:spacing w:before="10" w:line="276" w:lineRule="auto"/>
        <w:ind w:left="105"/>
        <w:jc w:val="both"/>
        <w:rPr>
          <w:rFonts w:asciiTheme="minorHAnsi" w:hAnsiTheme="minorHAnsi" w:cstheme="minorHAnsi"/>
        </w:rPr>
      </w:pPr>
      <w:r w:rsidRPr="00143EDA">
        <w:rPr>
          <w:rFonts w:asciiTheme="minorHAnsi" w:hAnsiTheme="minorHAnsi" w:cstheme="minorHAnsi"/>
        </w:rPr>
        <w:t>Con el término hipotiroidismo primario se hace referencia al déficit hormonal causado por fallo intrínseco de la glándula tiroides, que interrumpe la síntesis y la secreción de T4 y T3. El hipotiroidismo subclínico (HSC) o leve es un tipo de hipotiroidismo asintomático o con presencia de síntomas leves, en el cual el nivel de TSH presenta un aumento moderado, mientras que el nivel de T4 libre plasmático sigue en el intervalo normal bajo a normal.</w:t>
      </w:r>
    </w:p>
    <w:p w14:paraId="207B2993" w14:textId="77777777" w:rsidR="00E709A0" w:rsidRDefault="00E709A0" w:rsidP="00E709A0">
      <w:pPr>
        <w:pStyle w:val="Textoindependiente"/>
        <w:spacing w:before="10" w:line="276" w:lineRule="auto"/>
        <w:ind w:left="105"/>
        <w:jc w:val="both"/>
        <w:rPr>
          <w:rFonts w:asciiTheme="minorHAnsi" w:hAnsiTheme="minorHAnsi" w:cstheme="minorHAnsi"/>
        </w:rPr>
      </w:pPr>
    </w:p>
    <w:p w14:paraId="27683DFC" w14:textId="77777777" w:rsidR="00E709A0" w:rsidRDefault="00E709A0" w:rsidP="00E709A0">
      <w:pPr>
        <w:pStyle w:val="Textoindependiente"/>
        <w:spacing w:before="10" w:line="276" w:lineRule="auto"/>
        <w:ind w:left="105"/>
        <w:jc w:val="both"/>
        <w:rPr>
          <w:rFonts w:asciiTheme="minorHAnsi" w:hAnsiTheme="minorHAnsi" w:cstheme="minorHAnsi"/>
        </w:rPr>
      </w:pPr>
    </w:p>
    <w:p w14:paraId="655D9BC9" w14:textId="77777777" w:rsidR="00E709A0" w:rsidRDefault="00E709A0" w:rsidP="00E709A0">
      <w:pPr>
        <w:pStyle w:val="Textoindependiente"/>
        <w:spacing w:before="10" w:line="276" w:lineRule="auto"/>
        <w:ind w:left="105"/>
        <w:jc w:val="both"/>
        <w:rPr>
          <w:rFonts w:asciiTheme="minorHAnsi" w:hAnsiTheme="minorHAnsi" w:cstheme="minorHAnsi"/>
        </w:rPr>
      </w:pPr>
    </w:p>
    <w:p w14:paraId="356D07B8" w14:textId="77777777" w:rsidR="00E709A0" w:rsidRDefault="00E709A0" w:rsidP="00E709A0">
      <w:pPr>
        <w:pStyle w:val="Textoindependiente"/>
        <w:spacing w:before="10" w:line="276" w:lineRule="auto"/>
        <w:ind w:left="105"/>
        <w:jc w:val="both"/>
        <w:rPr>
          <w:rFonts w:asciiTheme="minorHAnsi" w:hAnsiTheme="minorHAnsi" w:cstheme="minorHAnsi"/>
        </w:rPr>
      </w:pPr>
    </w:p>
    <w:p w14:paraId="20FD3942" w14:textId="77777777" w:rsidR="00E709A0" w:rsidRDefault="00E709A0" w:rsidP="00E709A0">
      <w:pPr>
        <w:pStyle w:val="Textoindependiente"/>
        <w:spacing w:before="10" w:line="276" w:lineRule="auto"/>
        <w:ind w:left="105"/>
        <w:jc w:val="both"/>
        <w:rPr>
          <w:rFonts w:asciiTheme="minorHAnsi" w:hAnsiTheme="minorHAnsi" w:cstheme="minorHAnsi"/>
        </w:rPr>
      </w:pPr>
    </w:p>
    <w:p w14:paraId="74A43983" w14:textId="32CDECAB" w:rsidR="00BC103B" w:rsidRDefault="002C2DFC" w:rsidP="00E709A0">
      <w:pPr>
        <w:pStyle w:val="Textoindependiente"/>
        <w:spacing w:before="10" w:line="276" w:lineRule="auto"/>
        <w:ind w:left="105"/>
        <w:jc w:val="both"/>
        <w:rPr>
          <w:rFonts w:asciiTheme="minorHAnsi" w:hAnsiTheme="minorHAnsi" w:cstheme="minorHAnsi"/>
        </w:rPr>
      </w:pPr>
      <w:r w:rsidRPr="00143EDA">
        <w:rPr>
          <w:rFonts w:asciiTheme="minorHAnsi" w:hAnsiTheme="minorHAnsi" w:cstheme="minorHAnsi"/>
        </w:rPr>
        <w:lastRenderedPageBreak/>
        <w:t xml:space="preserve"> El hipotiroidismo primario está presente en casi el 5% de los individuos. Se asocia, frecuentemente, con irregularidades menstruales. </w:t>
      </w:r>
      <w:proofErr w:type="spellStart"/>
      <w:r w:rsidRPr="00143EDA">
        <w:rPr>
          <w:rFonts w:asciiTheme="minorHAnsi" w:hAnsiTheme="minorHAnsi" w:cstheme="minorHAnsi"/>
        </w:rPr>
        <w:t>Krassas</w:t>
      </w:r>
      <w:proofErr w:type="spellEnd"/>
      <w:r w:rsidRPr="00143EDA">
        <w:rPr>
          <w:rFonts w:asciiTheme="minorHAnsi" w:hAnsiTheme="minorHAnsi" w:cstheme="minorHAnsi"/>
        </w:rPr>
        <w:t xml:space="preserve"> et al, mostraron que la prevalencia de oligomenorrea fue de 23% entre mujeres hipotiroideas, en comparación con 8% en controles eutiroideos. La gravedad de las anomalías menstruales se asoció con la elevación de las concentraciones séricas de hormona estimulante de la tiroides (TSH). </w:t>
      </w:r>
    </w:p>
    <w:p w14:paraId="3B05F103" w14:textId="49271FB0" w:rsidR="00BC103B" w:rsidRDefault="00BC103B" w:rsidP="00143EDA">
      <w:pPr>
        <w:pStyle w:val="Textoindependiente"/>
        <w:spacing w:before="10" w:line="276" w:lineRule="auto"/>
        <w:ind w:left="105"/>
        <w:jc w:val="both"/>
        <w:rPr>
          <w:rFonts w:asciiTheme="minorHAnsi" w:hAnsiTheme="minorHAnsi" w:cstheme="minorHAnsi"/>
        </w:rPr>
      </w:pPr>
      <w:r>
        <w:rPr>
          <w:noProof/>
        </w:rPr>
        <w:drawing>
          <wp:anchor distT="0" distB="0" distL="0" distR="0" simplePos="0" relativeHeight="251698176" behindDoc="1" locked="0" layoutInCell="1" allowOverlap="1" wp14:anchorId="4E7DD808" wp14:editId="7CF78697">
            <wp:simplePos x="0" y="0"/>
            <wp:positionH relativeFrom="page">
              <wp:align>right</wp:align>
            </wp:positionH>
            <wp:positionV relativeFrom="margin">
              <wp:align>bottom</wp:align>
            </wp:positionV>
            <wp:extent cx="6810375" cy="9738360"/>
            <wp:effectExtent l="0" t="0" r="9525" b="0"/>
            <wp:wrapNone/>
            <wp:docPr id="1800811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6810375" cy="9738360"/>
                    </a:xfrm>
                    <a:prstGeom prst="rect">
                      <a:avLst/>
                    </a:prstGeom>
                  </pic:spPr>
                </pic:pic>
              </a:graphicData>
            </a:graphic>
            <wp14:sizeRelV relativeFrom="margin">
              <wp14:pctHeight>0</wp14:pctHeight>
            </wp14:sizeRelV>
          </wp:anchor>
        </w:drawing>
      </w:r>
    </w:p>
    <w:p w14:paraId="22DC5D54" w14:textId="2D8A6A5A" w:rsidR="002C2DFC" w:rsidRDefault="002C2DFC" w:rsidP="00E709A0">
      <w:pPr>
        <w:pStyle w:val="Textoindependiente"/>
        <w:spacing w:before="10" w:line="276" w:lineRule="auto"/>
        <w:ind w:left="105"/>
        <w:jc w:val="both"/>
        <w:rPr>
          <w:rFonts w:asciiTheme="minorHAnsi" w:hAnsiTheme="minorHAnsi" w:cstheme="minorHAnsi"/>
        </w:rPr>
      </w:pPr>
      <w:r w:rsidRPr="00143EDA">
        <w:rPr>
          <w:rFonts w:asciiTheme="minorHAnsi" w:hAnsiTheme="minorHAnsi" w:cstheme="minorHAnsi"/>
        </w:rPr>
        <w:t>Esta enfermedad también se asocia con menorragia debido a la producción alterada de factores de coagulación, como la disminución de las concentraciones de factores VII, VIII, IX y XI. (3</w:t>
      </w:r>
      <w:proofErr w:type="gramStart"/>
      <w:r w:rsidRPr="00143EDA">
        <w:rPr>
          <w:rFonts w:asciiTheme="minorHAnsi" w:hAnsiTheme="minorHAnsi" w:cstheme="minorHAnsi"/>
        </w:rPr>
        <w:t>).Se</w:t>
      </w:r>
      <w:proofErr w:type="gramEnd"/>
      <w:r w:rsidRPr="00143EDA">
        <w:rPr>
          <w:rFonts w:asciiTheme="minorHAnsi" w:hAnsiTheme="minorHAnsi" w:cstheme="minorHAnsi"/>
        </w:rPr>
        <w:t xml:space="preserve"> diagnostica con mayor frecuencia en mujeres y a medida que avanza la edad; La deficiencia de yodo en la dieta es la principal causa de hipotiroidismo primario en determinadas regiones subdesarrolladas del mundo, mientras que la causa más frecuente en la mayoría de los países es la tiroiditis autoinmunitaria o de Hashimoto (4).</w:t>
      </w:r>
    </w:p>
    <w:p w14:paraId="71EA27E0" w14:textId="77777777" w:rsidR="00BC103B" w:rsidRPr="00143EDA" w:rsidRDefault="00BC103B" w:rsidP="00BC103B">
      <w:pPr>
        <w:pStyle w:val="Textoindependiente"/>
        <w:spacing w:before="10" w:line="276" w:lineRule="auto"/>
        <w:jc w:val="both"/>
        <w:rPr>
          <w:rFonts w:asciiTheme="minorHAnsi" w:hAnsiTheme="minorHAnsi" w:cstheme="minorHAnsi"/>
        </w:rPr>
      </w:pPr>
    </w:p>
    <w:p w14:paraId="73FEC752" w14:textId="7AF5335B" w:rsidR="001A22C2" w:rsidRDefault="002C2DFC" w:rsidP="00143EDA">
      <w:pPr>
        <w:pStyle w:val="Textoindependiente"/>
        <w:spacing w:before="10" w:line="276" w:lineRule="auto"/>
        <w:ind w:left="105"/>
        <w:jc w:val="both"/>
        <w:rPr>
          <w:rFonts w:asciiTheme="minorHAnsi" w:hAnsiTheme="minorHAnsi" w:cstheme="minorHAnsi"/>
        </w:rPr>
      </w:pPr>
      <w:r w:rsidRPr="00143EDA">
        <w:rPr>
          <w:rFonts w:asciiTheme="minorHAnsi" w:hAnsiTheme="minorHAnsi" w:cstheme="minorHAnsi"/>
        </w:rPr>
        <w:t>En particular el poco conocimiento y la clínica inusual de esta enfermedad la hacen interesante para su investigación y estudio. La evaluación respectiva en las pacientes de edad fértil sospechosas de alguna patología tiroidea es esencial por lo que se ha observado alteraciones en proceso de embarazo, por ello se debe corroborar con exámenes complementarios y ayuden a la clínica para empezar un tratamiento adecuado y oportuno (5).</w:t>
      </w:r>
    </w:p>
    <w:p w14:paraId="4A90EA08" w14:textId="77777777" w:rsidR="00BC103B" w:rsidRPr="00143EDA" w:rsidRDefault="00BC103B" w:rsidP="00143EDA">
      <w:pPr>
        <w:pStyle w:val="Textoindependiente"/>
        <w:spacing w:before="10" w:line="276" w:lineRule="auto"/>
        <w:ind w:left="105"/>
        <w:jc w:val="both"/>
        <w:rPr>
          <w:rFonts w:asciiTheme="minorHAnsi" w:hAnsiTheme="minorHAnsi" w:cstheme="minorHAnsi"/>
        </w:rPr>
      </w:pPr>
    </w:p>
    <w:p w14:paraId="7094474B" w14:textId="25281263" w:rsidR="00B73F43" w:rsidRDefault="00B73F43" w:rsidP="00143EDA">
      <w:pPr>
        <w:pStyle w:val="Textoindependiente"/>
        <w:spacing w:line="276" w:lineRule="auto"/>
        <w:ind w:left="105" w:right="111"/>
        <w:jc w:val="both"/>
        <w:rPr>
          <w:rFonts w:asciiTheme="minorHAnsi" w:hAnsiTheme="minorHAnsi" w:cstheme="minorHAnsi"/>
        </w:rPr>
      </w:pPr>
      <w:r w:rsidRPr="00143EDA">
        <w:rPr>
          <w:rFonts w:asciiTheme="minorHAnsi" w:hAnsiTheme="minorHAnsi" w:cstheme="minorHAnsi"/>
        </w:rPr>
        <w:t xml:space="preserve">Este estudio se basó en una investigación bibliográfica minuciosa que abordó la aplicación de la </w:t>
      </w:r>
      <w:proofErr w:type="spellStart"/>
      <w:r w:rsidRPr="00143EDA">
        <w:rPr>
          <w:rFonts w:asciiTheme="minorHAnsi" w:hAnsiTheme="minorHAnsi" w:cstheme="minorHAnsi"/>
        </w:rPr>
        <w:t>neuroendoscopía</w:t>
      </w:r>
      <w:proofErr w:type="spellEnd"/>
      <w:r w:rsidRPr="00143EDA">
        <w:rPr>
          <w:rFonts w:asciiTheme="minorHAnsi" w:hAnsiTheme="minorHAnsi" w:cstheme="minorHAnsi"/>
        </w:rPr>
        <w:t xml:space="preserve">. Para ello, se realizaron búsquedas en diversas bases de datos científicas ampliamente reconocidas, como Google Académico, Scielo, Redalyc, PubMed, </w:t>
      </w:r>
      <w:proofErr w:type="spellStart"/>
      <w:r w:rsidRPr="00143EDA">
        <w:rPr>
          <w:rFonts w:asciiTheme="minorHAnsi" w:hAnsiTheme="minorHAnsi" w:cstheme="minorHAnsi"/>
        </w:rPr>
        <w:t>uptodate</w:t>
      </w:r>
      <w:proofErr w:type="spellEnd"/>
      <w:r w:rsidRPr="00143EDA">
        <w:rPr>
          <w:rFonts w:asciiTheme="minorHAnsi" w:hAnsiTheme="minorHAnsi" w:cstheme="minorHAnsi"/>
        </w:rPr>
        <w:t xml:space="preserve">, y otros buscadores relevantes. La búsqueda se centró en estudios publicados en los últimos 4 años previos a la realización de esta investigación, con la finalidad de poder obtener información actualizada y destacada. Se usaron palabras claves como endoscopia, neurocirugía, mínimamente invasivo. Se incluyeron estudios de revisión narrativa que proporcionan una visión global y profunda sobre el tema en cuestión. Además, se priorizaron los estudios redactados en idioma inglés o español para facilitar el análisis y comprensión de los resultados. Con el objetivo de asegurar la calidad y pertinencia de los artículos seleccionados, se establecieron criterios de inclusión y exclusión. Se excluyeron aquellos artículos que se limitaban a ser memorias de congresos, ya que se buscaba contar con investigaciones más extensas y fundamentadas. De la misma manera, se descartaron estudios que no se enfocaran específicamente en la aplicación de la </w:t>
      </w:r>
      <w:proofErr w:type="spellStart"/>
      <w:r w:rsidRPr="00143EDA">
        <w:rPr>
          <w:rFonts w:asciiTheme="minorHAnsi" w:hAnsiTheme="minorHAnsi" w:cstheme="minorHAnsi"/>
        </w:rPr>
        <w:t>neuroendoscopía</w:t>
      </w:r>
      <w:proofErr w:type="spellEnd"/>
      <w:r w:rsidRPr="00143EDA">
        <w:rPr>
          <w:rFonts w:asciiTheme="minorHAnsi" w:hAnsiTheme="minorHAnsi" w:cstheme="minorHAnsi"/>
        </w:rPr>
        <w:t>.</w:t>
      </w:r>
    </w:p>
    <w:p w14:paraId="26950488" w14:textId="77777777" w:rsidR="00BC103B" w:rsidRPr="00143EDA" w:rsidRDefault="00BC103B" w:rsidP="00143EDA">
      <w:pPr>
        <w:pStyle w:val="Textoindependiente"/>
        <w:spacing w:line="276" w:lineRule="auto"/>
        <w:ind w:left="105" w:right="111"/>
        <w:jc w:val="both"/>
        <w:rPr>
          <w:rFonts w:asciiTheme="minorHAnsi" w:hAnsiTheme="minorHAnsi" w:cstheme="minorHAnsi"/>
        </w:rPr>
      </w:pPr>
    </w:p>
    <w:p w14:paraId="4B98B8C1" w14:textId="7BB986DC" w:rsidR="0099573C" w:rsidRDefault="00B73F43" w:rsidP="00143EDA">
      <w:pPr>
        <w:pStyle w:val="Textoindependiente"/>
        <w:spacing w:line="276" w:lineRule="auto"/>
        <w:ind w:left="105" w:right="111"/>
        <w:jc w:val="both"/>
        <w:rPr>
          <w:rFonts w:asciiTheme="minorHAnsi" w:hAnsiTheme="minorHAnsi" w:cstheme="minorHAnsi"/>
        </w:rPr>
      </w:pPr>
      <w:r w:rsidRPr="00143EDA">
        <w:rPr>
          <w:rFonts w:asciiTheme="minorHAnsi" w:hAnsiTheme="minorHAnsi" w:cstheme="minorHAnsi"/>
        </w:rPr>
        <w:t xml:space="preserve">Tras la revisión de la literatura, se encontraron un total de 40 estudios completados que cumplían con los criterios establecidos. Estos estudios aportaron información valiosa y pertinentes datos para comprender la complejidad y diversidad del uso de la </w:t>
      </w:r>
      <w:proofErr w:type="spellStart"/>
      <w:r w:rsidRPr="00143EDA">
        <w:rPr>
          <w:rFonts w:asciiTheme="minorHAnsi" w:hAnsiTheme="minorHAnsi" w:cstheme="minorHAnsi"/>
        </w:rPr>
        <w:t>neuroendoscopía</w:t>
      </w:r>
      <w:proofErr w:type="spellEnd"/>
      <w:r w:rsidRPr="00143EDA">
        <w:rPr>
          <w:rFonts w:asciiTheme="minorHAnsi" w:hAnsiTheme="minorHAnsi" w:cstheme="minorHAnsi"/>
        </w:rPr>
        <w:t>.</w:t>
      </w:r>
    </w:p>
    <w:p w14:paraId="60274253" w14:textId="77777777" w:rsidR="00E709A0" w:rsidRDefault="00E709A0" w:rsidP="00143EDA">
      <w:pPr>
        <w:pStyle w:val="Textoindependiente"/>
        <w:spacing w:line="276" w:lineRule="auto"/>
        <w:ind w:left="105" w:right="111"/>
        <w:jc w:val="both"/>
        <w:rPr>
          <w:rFonts w:asciiTheme="minorHAnsi" w:hAnsiTheme="minorHAnsi" w:cstheme="minorHAnsi"/>
        </w:rPr>
      </w:pPr>
    </w:p>
    <w:p w14:paraId="702F11A1" w14:textId="77777777" w:rsidR="00E709A0" w:rsidRDefault="00E709A0" w:rsidP="00143EDA">
      <w:pPr>
        <w:pStyle w:val="Textoindependiente"/>
        <w:spacing w:line="276" w:lineRule="auto"/>
        <w:ind w:left="105" w:right="111"/>
        <w:jc w:val="both"/>
        <w:rPr>
          <w:rFonts w:asciiTheme="minorHAnsi" w:hAnsiTheme="minorHAnsi" w:cstheme="minorHAnsi"/>
        </w:rPr>
      </w:pPr>
    </w:p>
    <w:p w14:paraId="7A0E3D46" w14:textId="77777777" w:rsidR="00E709A0" w:rsidRDefault="00E709A0" w:rsidP="00143EDA">
      <w:pPr>
        <w:pStyle w:val="Textoindependiente"/>
        <w:spacing w:line="276" w:lineRule="auto"/>
        <w:ind w:left="105" w:right="111"/>
        <w:jc w:val="both"/>
        <w:rPr>
          <w:rFonts w:asciiTheme="minorHAnsi" w:hAnsiTheme="minorHAnsi" w:cstheme="minorHAnsi"/>
        </w:rPr>
      </w:pPr>
    </w:p>
    <w:p w14:paraId="49EB4C9A" w14:textId="77777777" w:rsidR="00E709A0" w:rsidRDefault="00E709A0" w:rsidP="00143EDA">
      <w:pPr>
        <w:pStyle w:val="Textoindependiente"/>
        <w:spacing w:line="276" w:lineRule="auto"/>
        <w:ind w:left="105" w:right="111"/>
        <w:jc w:val="both"/>
        <w:rPr>
          <w:rFonts w:asciiTheme="minorHAnsi" w:hAnsiTheme="minorHAnsi" w:cstheme="minorHAnsi"/>
        </w:rPr>
      </w:pPr>
    </w:p>
    <w:p w14:paraId="4177533C" w14:textId="77777777" w:rsidR="00E709A0" w:rsidRDefault="00E709A0" w:rsidP="00143EDA">
      <w:pPr>
        <w:pStyle w:val="Textoindependiente"/>
        <w:spacing w:line="276" w:lineRule="auto"/>
        <w:ind w:left="105" w:right="111"/>
        <w:jc w:val="both"/>
        <w:rPr>
          <w:rFonts w:asciiTheme="minorHAnsi" w:hAnsiTheme="minorHAnsi" w:cstheme="minorHAnsi"/>
        </w:rPr>
      </w:pPr>
    </w:p>
    <w:p w14:paraId="1BA7E862" w14:textId="77777777" w:rsidR="00E709A0" w:rsidRDefault="00E709A0" w:rsidP="00143EDA">
      <w:pPr>
        <w:pStyle w:val="Textoindependiente"/>
        <w:spacing w:line="276" w:lineRule="auto"/>
        <w:ind w:left="105" w:right="111"/>
        <w:jc w:val="both"/>
        <w:rPr>
          <w:rFonts w:asciiTheme="minorHAnsi" w:hAnsiTheme="minorHAnsi" w:cstheme="minorHAnsi"/>
        </w:rPr>
      </w:pPr>
    </w:p>
    <w:p w14:paraId="492E174F" w14:textId="77777777" w:rsidR="00E709A0" w:rsidRDefault="00E709A0" w:rsidP="00143EDA">
      <w:pPr>
        <w:pStyle w:val="Textoindependiente"/>
        <w:spacing w:line="276" w:lineRule="auto"/>
        <w:ind w:left="105" w:right="111"/>
        <w:jc w:val="both"/>
        <w:rPr>
          <w:rFonts w:asciiTheme="minorHAnsi" w:hAnsiTheme="minorHAnsi" w:cstheme="minorHAnsi"/>
        </w:rPr>
      </w:pPr>
    </w:p>
    <w:p w14:paraId="2BE26379" w14:textId="77777777" w:rsidR="00BC103B" w:rsidRPr="00143EDA" w:rsidRDefault="00BC103B" w:rsidP="00143EDA">
      <w:pPr>
        <w:pStyle w:val="Textoindependiente"/>
        <w:spacing w:line="276" w:lineRule="auto"/>
        <w:ind w:left="105" w:right="111"/>
        <w:jc w:val="both"/>
        <w:rPr>
          <w:rFonts w:asciiTheme="minorHAnsi" w:hAnsiTheme="minorHAnsi" w:cstheme="minorHAnsi"/>
        </w:rPr>
      </w:pPr>
    </w:p>
    <w:p w14:paraId="549CD6A0" w14:textId="7D5FC9ED" w:rsidR="002C2DFC" w:rsidRPr="00143EDA" w:rsidRDefault="002C2DFC" w:rsidP="00B82801">
      <w:pPr>
        <w:pStyle w:val="Textoindependiente"/>
        <w:numPr>
          <w:ilvl w:val="0"/>
          <w:numId w:val="15"/>
        </w:numPr>
        <w:spacing w:line="276" w:lineRule="auto"/>
        <w:ind w:right="111"/>
        <w:jc w:val="both"/>
        <w:rPr>
          <w:rFonts w:asciiTheme="minorHAnsi" w:hAnsiTheme="minorHAnsi" w:cstheme="minorHAnsi"/>
          <w:b/>
          <w:bCs/>
        </w:rPr>
      </w:pPr>
      <w:r w:rsidRPr="00143EDA">
        <w:rPr>
          <w:rFonts w:asciiTheme="minorHAnsi" w:hAnsiTheme="minorHAnsi" w:cstheme="minorHAnsi"/>
          <w:b/>
          <w:bCs/>
        </w:rPr>
        <w:t>MATERIALES Y METODOS</w:t>
      </w:r>
    </w:p>
    <w:p w14:paraId="0D4D03FB" w14:textId="77777777" w:rsidR="002C2DFC" w:rsidRPr="00143EDA" w:rsidRDefault="002C2DFC" w:rsidP="00143EDA">
      <w:pPr>
        <w:pStyle w:val="Textoindependiente"/>
        <w:spacing w:line="276" w:lineRule="auto"/>
        <w:ind w:left="105" w:right="111"/>
        <w:jc w:val="both"/>
        <w:rPr>
          <w:rFonts w:asciiTheme="minorHAnsi" w:hAnsiTheme="minorHAnsi" w:cstheme="minorHAnsi"/>
          <w:b/>
          <w:bCs/>
        </w:rPr>
      </w:pPr>
    </w:p>
    <w:p w14:paraId="3B288742" w14:textId="77777777" w:rsidR="002C2DFC" w:rsidRDefault="002C2DFC" w:rsidP="00143EDA">
      <w:pPr>
        <w:spacing w:line="276" w:lineRule="auto"/>
        <w:jc w:val="both"/>
        <w:rPr>
          <w:rFonts w:asciiTheme="minorHAnsi" w:eastAsia="Times New Roman" w:hAnsiTheme="minorHAnsi" w:cstheme="minorHAnsi"/>
          <w:color w:val="000000" w:themeColor="text1"/>
          <w:sz w:val="24"/>
          <w:szCs w:val="24"/>
          <w:shd w:val="clear" w:color="auto" w:fill="FFFFFF"/>
          <w:lang w:eastAsia="es-ES_tradnl"/>
        </w:rPr>
      </w:pPr>
      <w:bookmarkStart w:id="1" w:name="_Hlk178594228"/>
      <w:r w:rsidRPr="00143EDA">
        <w:rPr>
          <w:rFonts w:asciiTheme="minorHAnsi" w:eastAsia="Times New Roman" w:hAnsiTheme="minorHAnsi" w:cstheme="minorHAnsi"/>
          <w:color w:val="000000" w:themeColor="text1"/>
          <w:sz w:val="24"/>
          <w:szCs w:val="24"/>
          <w:shd w:val="clear" w:color="auto" w:fill="FFFFFF"/>
          <w:lang w:eastAsia="es-ES_tradnl"/>
        </w:rPr>
        <w:t xml:space="preserve">Se llevó a cabo una revisión bibliográfica exhaustiva utilizando bases de datos académicas, específicamente PubMed y SciELO, Scopus para identificar estudios relevantes sobre el hipotiroidismo en mujeres de edad fértil. </w:t>
      </w:r>
    </w:p>
    <w:p w14:paraId="29233465" w14:textId="77777777" w:rsidR="00E709A0" w:rsidRDefault="00E709A0" w:rsidP="00143EDA">
      <w:pPr>
        <w:spacing w:line="276" w:lineRule="auto"/>
        <w:jc w:val="both"/>
        <w:rPr>
          <w:rFonts w:asciiTheme="minorHAnsi" w:hAnsiTheme="minorHAnsi" w:cstheme="minorHAnsi"/>
          <w:noProof/>
          <w:sz w:val="24"/>
          <w:szCs w:val="24"/>
        </w:rPr>
      </w:pPr>
    </w:p>
    <w:p w14:paraId="1CD9D45B" w14:textId="073220DB" w:rsidR="002C2DFC" w:rsidRDefault="00BC103B" w:rsidP="00143EDA">
      <w:pPr>
        <w:spacing w:line="276" w:lineRule="auto"/>
        <w:jc w:val="both"/>
        <w:rPr>
          <w:rFonts w:asciiTheme="minorHAnsi" w:eastAsia="Times New Roman" w:hAnsiTheme="minorHAnsi" w:cstheme="minorHAnsi"/>
          <w:color w:val="000000" w:themeColor="text1"/>
          <w:sz w:val="24"/>
          <w:szCs w:val="24"/>
          <w:shd w:val="clear" w:color="auto" w:fill="FFFFFF"/>
          <w:lang w:eastAsia="es-ES_tradnl"/>
        </w:rPr>
      </w:pPr>
      <w:r w:rsidRPr="00143EDA">
        <w:rPr>
          <w:rFonts w:asciiTheme="minorHAnsi" w:hAnsiTheme="minorHAnsi" w:cstheme="minorHAnsi"/>
          <w:noProof/>
          <w:sz w:val="24"/>
          <w:szCs w:val="24"/>
        </w:rPr>
        <w:drawing>
          <wp:anchor distT="0" distB="0" distL="0" distR="0" simplePos="0" relativeHeight="251642880" behindDoc="1" locked="0" layoutInCell="1" allowOverlap="1" wp14:anchorId="19E2489B" wp14:editId="4569221D">
            <wp:simplePos x="0" y="0"/>
            <wp:positionH relativeFrom="margin">
              <wp:align>right</wp:align>
            </wp:positionH>
            <wp:positionV relativeFrom="page">
              <wp:posOffset>1005840</wp:posOffset>
            </wp:positionV>
            <wp:extent cx="5966460" cy="9235440"/>
            <wp:effectExtent l="0" t="0" r="0" b="3810"/>
            <wp:wrapNone/>
            <wp:docPr id="2" name="Imagen 2"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0" cstate="print"/>
                    <a:stretch>
                      <a:fillRect/>
                    </a:stretch>
                  </pic:blipFill>
                  <pic:spPr>
                    <a:xfrm>
                      <a:off x="0" y="0"/>
                      <a:ext cx="5966460" cy="9235440"/>
                    </a:xfrm>
                    <a:prstGeom prst="rect">
                      <a:avLst/>
                    </a:prstGeom>
                  </pic:spPr>
                </pic:pic>
              </a:graphicData>
            </a:graphic>
            <wp14:sizeRelH relativeFrom="margin">
              <wp14:pctWidth>0</wp14:pctWidth>
            </wp14:sizeRelH>
            <wp14:sizeRelV relativeFrom="margin">
              <wp14:pctHeight>0</wp14:pctHeight>
            </wp14:sizeRelV>
          </wp:anchor>
        </w:drawing>
      </w:r>
      <w:r w:rsidR="002C2DFC" w:rsidRPr="00143EDA">
        <w:rPr>
          <w:rFonts w:asciiTheme="minorHAnsi" w:eastAsia="Times New Roman" w:hAnsiTheme="minorHAnsi" w:cstheme="minorHAnsi"/>
          <w:color w:val="000000" w:themeColor="text1"/>
          <w:sz w:val="24"/>
          <w:szCs w:val="24"/>
          <w:shd w:val="clear" w:color="auto" w:fill="FFFFFF"/>
          <w:lang w:eastAsia="es-ES_tradnl"/>
        </w:rPr>
        <w:t>Para la Selección de Fuentes se realizó una búsqueda en las bases de datos mencionadas, limitando la búsqueda a artículos publicados en los últimos cinco años (2019-2024), incluyó estudios de revisión narrativa o sistemática que abordaran métodos diagnósticos y el manejo del hipotiroidismo, así como su impacto en la salud reproductiva de las mujeres y se excluyeron artículos que consistieran en cartas al editor, memorias de congresos o estudios que no presentaran una evaluación diagnóstica clara. Se proyectó un total de 50 artículos a partir de la búsqueda inicial, de estos, se seleccionaron 45 investigaciones completas. Posteriormente, se excluyeron 10 artículos que no cumplían con los criterios de evaluación diagnóstica. Finalmente, se utilizaron un total de 32 fuentes relevantes y pertinentes para la revisión.</w:t>
      </w:r>
    </w:p>
    <w:p w14:paraId="750EA7F7" w14:textId="77777777" w:rsidR="00B82801" w:rsidRPr="00143EDA" w:rsidRDefault="00B82801" w:rsidP="00143EDA">
      <w:pPr>
        <w:spacing w:line="276" w:lineRule="auto"/>
        <w:jc w:val="both"/>
        <w:rPr>
          <w:rFonts w:asciiTheme="minorHAnsi" w:eastAsia="Times New Roman" w:hAnsiTheme="minorHAnsi" w:cstheme="minorHAnsi"/>
          <w:color w:val="000000" w:themeColor="text1"/>
          <w:sz w:val="24"/>
          <w:szCs w:val="24"/>
          <w:shd w:val="clear" w:color="auto" w:fill="FFFFFF"/>
          <w:lang w:eastAsia="es-ES_tradnl"/>
        </w:rPr>
      </w:pPr>
    </w:p>
    <w:p w14:paraId="6BB477AE" w14:textId="20CA2178"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shd w:val="clear" w:color="auto" w:fill="FFFFFF"/>
          <w:lang w:eastAsia="es-ES_tradnl"/>
        </w:rPr>
      </w:pPr>
      <w:r w:rsidRPr="00143EDA">
        <w:rPr>
          <w:rFonts w:asciiTheme="minorHAnsi" w:eastAsia="Times New Roman" w:hAnsiTheme="minorHAnsi" w:cstheme="minorHAnsi"/>
          <w:color w:val="000000" w:themeColor="text1"/>
          <w:sz w:val="24"/>
          <w:szCs w:val="24"/>
          <w:shd w:val="clear" w:color="auto" w:fill="FFFFFF"/>
          <w:lang w:eastAsia="es-ES_tradnl"/>
        </w:rPr>
        <w:t xml:space="preserve"> Se realizó un análisis crítico del contenido de los artículos seleccionados, enfocándose en los aspectos diagnósticos, tratamientos y repercusiones del hipotiroidismo en mujeres de edad fértil. La información recopilada se organizó temáticamente para facilitar su interpretación y discusión en el contexto del hipotiroidismo y su impacto en la salud reproductiva. Este enfoque metodológico permitió obtener una visión integral sobre el hipotiroidismo en mujeres de edad fértil, resaltando la importancia del diagnóstico y tratamiento adecuados para mejorar los resultados en salud materno-infantil.</w:t>
      </w:r>
    </w:p>
    <w:bookmarkEnd w:id="1"/>
    <w:p w14:paraId="2BA6292D" w14:textId="77777777" w:rsidR="00171968" w:rsidRPr="00143EDA" w:rsidRDefault="00171968" w:rsidP="00143EDA">
      <w:pPr>
        <w:pStyle w:val="Textoindependiente"/>
        <w:spacing w:before="10" w:line="276" w:lineRule="auto"/>
        <w:rPr>
          <w:rFonts w:asciiTheme="minorHAnsi" w:hAnsiTheme="minorHAnsi" w:cstheme="minorHAnsi"/>
          <w:lang w:val="es-EC"/>
        </w:rPr>
      </w:pPr>
    </w:p>
    <w:p w14:paraId="309CBA1B" w14:textId="443066DD" w:rsidR="00171968" w:rsidRPr="00143EDA" w:rsidRDefault="00171968" w:rsidP="00B82801">
      <w:pPr>
        <w:pStyle w:val="Ttulo1"/>
        <w:numPr>
          <w:ilvl w:val="0"/>
          <w:numId w:val="15"/>
        </w:numPr>
        <w:spacing w:line="276" w:lineRule="auto"/>
        <w:rPr>
          <w:rFonts w:asciiTheme="minorHAnsi" w:hAnsiTheme="minorHAnsi" w:cstheme="minorHAnsi"/>
        </w:rPr>
      </w:pPr>
      <w:r w:rsidRPr="00143EDA">
        <w:rPr>
          <w:rFonts w:asciiTheme="minorHAnsi" w:hAnsiTheme="minorHAnsi" w:cstheme="minorHAnsi"/>
        </w:rPr>
        <w:t>RESULTADOS</w:t>
      </w:r>
    </w:p>
    <w:p w14:paraId="3A710502" w14:textId="77777777" w:rsidR="00B73F43" w:rsidRPr="00143EDA" w:rsidRDefault="00B73F43" w:rsidP="00143EDA">
      <w:pPr>
        <w:pStyle w:val="Ttulo1"/>
        <w:spacing w:line="276" w:lineRule="auto"/>
        <w:rPr>
          <w:rFonts w:asciiTheme="minorHAnsi" w:hAnsiTheme="minorHAnsi" w:cstheme="minorHAnsi"/>
        </w:rPr>
      </w:pPr>
    </w:p>
    <w:p w14:paraId="1F02067B" w14:textId="5334F3BF" w:rsidR="002C2DFC" w:rsidRPr="00143EDA" w:rsidRDefault="002C2DFC" w:rsidP="00143EDA">
      <w:pPr>
        <w:spacing w:line="276" w:lineRule="auto"/>
        <w:jc w:val="both"/>
        <w:rPr>
          <w:rFonts w:asciiTheme="minorHAnsi" w:hAnsiTheme="minorHAnsi" w:cstheme="minorHAnsi"/>
          <w:sz w:val="24"/>
          <w:szCs w:val="24"/>
        </w:rPr>
      </w:pPr>
      <w:r w:rsidRPr="00143EDA">
        <w:rPr>
          <w:rFonts w:asciiTheme="minorHAnsi" w:hAnsiTheme="minorHAnsi" w:cstheme="minorHAnsi"/>
          <w:sz w:val="24"/>
          <w:szCs w:val="24"/>
        </w:rPr>
        <w:t>Como se ha descrito los factores etiológicos más comunes de Hipotiroidismo son la tiroiditis de Hashimoto, deficiencia de Yodo que es común en países subdesarrollados, tratamientos Médicos como la radioterapia en el cuello o el uso de yodo radiactivo, procedimientos quirúrgicos como extirpación parcial o total de la tiroides debido a cáncer u otros problemas puede resultar en hipotiroidismo; fármacos. Sin embargo, existe otra condición relevante en la edad fértil que es el Hipotiroidismo Subclínico donde los niveles de TSH están elevados mientras que los niveles de T4 libre permanecen normales, sin síntomas evidentes que puede afectar la fertilidad de estas pacientes.</w:t>
      </w:r>
    </w:p>
    <w:p w14:paraId="6CE3F36D" w14:textId="77777777" w:rsidR="00E709A0" w:rsidRDefault="00E709A0" w:rsidP="00E709A0">
      <w:pPr>
        <w:spacing w:line="276" w:lineRule="auto"/>
        <w:rPr>
          <w:rFonts w:asciiTheme="minorHAnsi" w:hAnsiTheme="minorHAnsi" w:cstheme="minorHAnsi"/>
          <w:sz w:val="24"/>
          <w:szCs w:val="24"/>
        </w:rPr>
      </w:pPr>
    </w:p>
    <w:p w14:paraId="12971E8C" w14:textId="4A7BA711" w:rsidR="00E709A0" w:rsidRDefault="002C2DFC" w:rsidP="00E709A0">
      <w:pPr>
        <w:spacing w:line="276" w:lineRule="auto"/>
        <w:jc w:val="both"/>
        <w:rPr>
          <w:rFonts w:asciiTheme="minorHAnsi" w:hAnsiTheme="minorHAnsi" w:cstheme="minorHAnsi"/>
          <w:sz w:val="24"/>
          <w:szCs w:val="24"/>
        </w:rPr>
      </w:pPr>
      <w:r w:rsidRPr="00E709A0">
        <w:rPr>
          <w:rFonts w:asciiTheme="minorHAnsi" w:hAnsiTheme="minorHAnsi" w:cstheme="minorHAnsi"/>
          <w:sz w:val="24"/>
          <w:szCs w:val="24"/>
        </w:rPr>
        <w:t>La tiroiditis autoinmune es la causa más común durante el embarazo. Otra principal causa alrededor del mundo es el déficit de yodo, sin embargo, hay diferentes fuentes etiológicas que incluyen la ablación con yodo radioactivo en el tratamiento del cáncer de tiroides o hipertiroidismo, cirugía de tumores de tiroides o el hipotiroidismo central que incluyen hipofisitis linfocítica o tiroides ectópica y fármacos como la rifampicina y la fenitoína, que aceleran el metabolismo de la tiroides (6).</w:t>
      </w:r>
    </w:p>
    <w:p w14:paraId="184CEB11" w14:textId="77777777" w:rsidR="00E709A0" w:rsidRPr="00E709A0" w:rsidRDefault="00E709A0" w:rsidP="00E709A0">
      <w:pPr>
        <w:spacing w:line="276" w:lineRule="auto"/>
        <w:rPr>
          <w:rFonts w:asciiTheme="minorHAnsi" w:hAnsiTheme="minorHAnsi" w:cstheme="minorHAnsi"/>
          <w:sz w:val="24"/>
          <w:szCs w:val="24"/>
        </w:rPr>
      </w:pPr>
    </w:p>
    <w:p w14:paraId="4D847325" w14:textId="77777777" w:rsidR="00E709A0" w:rsidRPr="00E709A0" w:rsidRDefault="00E709A0" w:rsidP="00E709A0">
      <w:pPr>
        <w:pStyle w:val="Prrafodelista"/>
        <w:spacing w:line="276" w:lineRule="auto"/>
        <w:ind w:left="720" w:firstLine="0"/>
        <w:rPr>
          <w:rFonts w:asciiTheme="minorHAnsi" w:hAnsiTheme="minorHAnsi" w:cstheme="minorHAnsi"/>
          <w:sz w:val="24"/>
          <w:szCs w:val="24"/>
        </w:rPr>
      </w:pPr>
    </w:p>
    <w:p w14:paraId="39C29C23" w14:textId="615A8FD2" w:rsidR="00E709A0" w:rsidRPr="00E709A0" w:rsidRDefault="00E709A0" w:rsidP="00E709A0">
      <w:pPr>
        <w:spacing w:line="276" w:lineRule="auto"/>
        <w:rPr>
          <w:rFonts w:asciiTheme="minorHAnsi" w:hAnsiTheme="minorHAnsi" w:cstheme="minorHAnsi"/>
          <w:sz w:val="24"/>
          <w:szCs w:val="24"/>
        </w:rPr>
      </w:pPr>
      <w:r w:rsidRPr="00143EDA">
        <w:rPr>
          <w:noProof/>
        </w:rPr>
        <w:lastRenderedPageBreak/>
        <w:drawing>
          <wp:anchor distT="0" distB="0" distL="0" distR="0" simplePos="0" relativeHeight="251661312" behindDoc="1" locked="0" layoutInCell="1" allowOverlap="1" wp14:anchorId="434049B2" wp14:editId="6A4C66B2">
            <wp:simplePos x="0" y="0"/>
            <wp:positionH relativeFrom="page">
              <wp:align>center</wp:align>
            </wp:positionH>
            <wp:positionV relativeFrom="page">
              <wp:posOffset>736600</wp:posOffset>
            </wp:positionV>
            <wp:extent cx="6324600" cy="9897745"/>
            <wp:effectExtent l="0" t="0" r="0" b="8255"/>
            <wp:wrapNone/>
            <wp:docPr id="6" name="Imagen 6"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0" cstate="print"/>
                    <a:stretch>
                      <a:fillRect/>
                    </a:stretch>
                  </pic:blipFill>
                  <pic:spPr>
                    <a:xfrm>
                      <a:off x="0" y="0"/>
                      <a:ext cx="6324600" cy="9897745"/>
                    </a:xfrm>
                    <a:prstGeom prst="rect">
                      <a:avLst/>
                    </a:prstGeom>
                  </pic:spPr>
                </pic:pic>
              </a:graphicData>
            </a:graphic>
            <wp14:sizeRelH relativeFrom="margin">
              <wp14:pctWidth>0</wp14:pctWidth>
            </wp14:sizeRelH>
            <wp14:sizeRelV relativeFrom="margin">
              <wp14:pctHeight>0</wp14:pctHeight>
            </wp14:sizeRelV>
          </wp:anchor>
        </w:drawing>
      </w:r>
      <w:r w:rsidR="002C2DFC" w:rsidRPr="00E709A0">
        <w:rPr>
          <w:rFonts w:asciiTheme="minorHAnsi" w:hAnsiTheme="minorHAnsi" w:cstheme="minorHAnsi"/>
          <w:sz w:val="24"/>
          <w:szCs w:val="24"/>
        </w:rPr>
        <w:t>La prevalencia del hipotiroidismo gestacional o congénito oscila entre el 2 % y 5 %: 0,3 %-1 % para el hipotiroidismo clínico y 3 %-5 % para el hipotiroidismo subclínico. No obstante, la prevalencia varía de acuerdo con los criterios diagnósticos, el trimestre del embarazo, el estado nutricional de yodo materno, así como de la edad y la raza. (7).</w:t>
      </w:r>
    </w:p>
    <w:p w14:paraId="7A2B4F14" w14:textId="3355102E" w:rsidR="00E709A0" w:rsidRDefault="00E709A0" w:rsidP="00E709A0">
      <w:pPr>
        <w:pStyle w:val="Prrafodelista"/>
        <w:spacing w:line="276" w:lineRule="auto"/>
        <w:ind w:left="720" w:firstLine="0"/>
        <w:rPr>
          <w:rFonts w:asciiTheme="minorHAnsi" w:hAnsiTheme="minorHAnsi" w:cstheme="minorHAnsi"/>
          <w:sz w:val="24"/>
          <w:szCs w:val="24"/>
        </w:rPr>
      </w:pPr>
    </w:p>
    <w:p w14:paraId="78426160" w14:textId="5F4521B7" w:rsidR="002C2DFC" w:rsidRPr="00E709A0" w:rsidRDefault="002C2DFC" w:rsidP="00E709A0">
      <w:pPr>
        <w:spacing w:line="276" w:lineRule="auto"/>
        <w:rPr>
          <w:rFonts w:asciiTheme="minorHAnsi" w:hAnsiTheme="minorHAnsi" w:cstheme="minorHAnsi"/>
          <w:sz w:val="24"/>
          <w:szCs w:val="24"/>
        </w:rPr>
      </w:pPr>
      <w:r w:rsidRPr="00E709A0">
        <w:rPr>
          <w:rFonts w:asciiTheme="minorHAnsi" w:hAnsiTheme="minorHAnsi" w:cstheme="minorHAnsi"/>
          <w:sz w:val="24"/>
          <w:szCs w:val="24"/>
        </w:rPr>
        <w:t xml:space="preserve">El 25% de los pacientes con hipotiroidismo presenta hiperprolactinemia la que altera la pulsatilidad de la hormona liberadora de gonadotropinas (GnRH) lo que se asocia a alteraciones de la fase lútea, anovulación y amenorrea13 ya sea por aumento de la secreción hipotalámica de TRH, que estimula la secreción de PRL </w:t>
      </w:r>
      <w:proofErr w:type="spellStart"/>
      <w:r w:rsidRPr="00E709A0">
        <w:rPr>
          <w:rFonts w:asciiTheme="minorHAnsi" w:hAnsiTheme="minorHAnsi" w:cstheme="minorHAnsi"/>
          <w:sz w:val="24"/>
          <w:szCs w:val="24"/>
        </w:rPr>
        <w:t>clearance</w:t>
      </w:r>
      <w:proofErr w:type="spellEnd"/>
      <w:r w:rsidRPr="00E709A0">
        <w:rPr>
          <w:rFonts w:asciiTheme="minorHAnsi" w:hAnsiTheme="minorHAnsi" w:cstheme="minorHAnsi"/>
          <w:sz w:val="24"/>
          <w:szCs w:val="24"/>
        </w:rPr>
        <w:t xml:space="preserve"> disminuido de PRL menor sensibilidad de los lactotropos a la dopamina mayor producción de PRL al faltar inhibición de las mismas hormonas tiroideas (8)</w:t>
      </w:r>
    </w:p>
    <w:p w14:paraId="22A0C22E" w14:textId="77777777" w:rsidR="002C2DFC" w:rsidRPr="00143EDA" w:rsidRDefault="002C2DFC" w:rsidP="00143EDA">
      <w:pPr>
        <w:spacing w:line="276" w:lineRule="auto"/>
        <w:jc w:val="both"/>
        <w:rPr>
          <w:rFonts w:asciiTheme="minorHAnsi" w:hAnsiTheme="minorHAnsi" w:cstheme="minorHAnsi"/>
          <w:sz w:val="24"/>
          <w:szCs w:val="24"/>
        </w:rPr>
      </w:pPr>
    </w:p>
    <w:p w14:paraId="5DFFB3CA" w14:textId="4E4EB049" w:rsidR="00143EDA" w:rsidRDefault="002C2DFC" w:rsidP="00143EDA">
      <w:pPr>
        <w:spacing w:line="276" w:lineRule="auto"/>
        <w:jc w:val="both"/>
        <w:rPr>
          <w:rFonts w:asciiTheme="minorHAnsi" w:hAnsiTheme="minorHAnsi" w:cstheme="minorHAnsi"/>
          <w:sz w:val="24"/>
          <w:szCs w:val="24"/>
        </w:rPr>
      </w:pPr>
      <w:r w:rsidRPr="00143EDA">
        <w:rPr>
          <w:rFonts w:asciiTheme="minorHAnsi" w:hAnsiTheme="minorHAnsi" w:cstheme="minorHAnsi"/>
          <w:sz w:val="24"/>
          <w:szCs w:val="24"/>
        </w:rPr>
        <w:t xml:space="preserve">Referente a la prevalencia de hipotiroidismo subclínico en mujeres infértiles es de 1 a 4% mientras que para el hipotiroidismo manifiesto es de 1-2%. La seropositividad a anticuerpos antitiroideos coexiste en 60-80% de las pacientes con hipotiroidismo subclínico mientras que en las pacientes con hipotiroidismo manifiesto se encuentra en poco más de 90%. </w:t>
      </w:r>
    </w:p>
    <w:p w14:paraId="545FED3C" w14:textId="22B61058" w:rsidR="00143EDA" w:rsidRDefault="00143EDA" w:rsidP="00143EDA">
      <w:pPr>
        <w:spacing w:line="276" w:lineRule="auto"/>
        <w:jc w:val="both"/>
        <w:rPr>
          <w:rFonts w:asciiTheme="minorHAnsi" w:hAnsiTheme="minorHAnsi" w:cstheme="minorHAnsi"/>
          <w:sz w:val="24"/>
          <w:szCs w:val="24"/>
        </w:rPr>
      </w:pPr>
    </w:p>
    <w:p w14:paraId="259E9AFC" w14:textId="46409551" w:rsidR="002C2DFC" w:rsidRPr="00143EDA" w:rsidRDefault="002C2DFC" w:rsidP="00143EDA">
      <w:pPr>
        <w:spacing w:line="276" w:lineRule="auto"/>
        <w:jc w:val="both"/>
        <w:rPr>
          <w:rFonts w:asciiTheme="minorHAnsi" w:hAnsiTheme="minorHAnsi" w:cstheme="minorHAnsi"/>
          <w:sz w:val="24"/>
          <w:szCs w:val="24"/>
        </w:rPr>
      </w:pPr>
      <w:r w:rsidRPr="00143EDA">
        <w:rPr>
          <w:rFonts w:asciiTheme="minorHAnsi" w:hAnsiTheme="minorHAnsi" w:cstheme="minorHAnsi"/>
          <w:sz w:val="24"/>
          <w:szCs w:val="24"/>
        </w:rPr>
        <w:t>La autoinmunidad tiroidea (tiroiditis de Hashimoto) explica la mayor parte de los casos de hipotiroidismo en los países con adecuada ingesta de yodo y su asociación con otras enfermedades autoinmunitarias, como la enfermedad de Addison, diabetes mellitus tipo 1, entre otras. La existencia de anticuerpos antitiroideos en el contexto del hipotiroidismo subclínico se considera un factor de riesgo de progresión a hipotiroidismo manifiesto, aproximadamente de 10% por año. (9)</w:t>
      </w:r>
    </w:p>
    <w:p w14:paraId="50AC79CE" w14:textId="77777777" w:rsidR="002C2DFC" w:rsidRPr="00143EDA" w:rsidRDefault="002C2DFC" w:rsidP="00143EDA">
      <w:pPr>
        <w:spacing w:line="276" w:lineRule="auto"/>
        <w:jc w:val="both"/>
        <w:rPr>
          <w:rFonts w:asciiTheme="minorHAnsi" w:hAnsiTheme="minorHAnsi" w:cstheme="minorHAnsi"/>
          <w:sz w:val="24"/>
          <w:szCs w:val="24"/>
        </w:rPr>
      </w:pPr>
      <w:r w:rsidRPr="00143EDA">
        <w:rPr>
          <w:rFonts w:asciiTheme="minorHAnsi" w:hAnsiTheme="minorHAnsi" w:cstheme="minorHAnsi"/>
          <w:sz w:val="24"/>
          <w:szCs w:val="24"/>
        </w:rPr>
        <w:t>La prevalencia de hipotiroidismo subclínico en mujeres infértiles es de 1 a 4% mientras que para el hipotiroidismo manifiesto es de 1-2%. La seropositividad a anticuerpos antitiroideos coexiste en 60-80% de las pacientes con hipotiroidismo subclínico mientras que en las pacientes con hipotiroidismo manifiesto se encuentra en poco más de 90%. La autoinmunidad tiroidea (tiroiditis de Hashimoto) explica la mayor parte de los casos de hipotiroidismo en los países con adecuada ingesta de yodo y su asociación con otras enfermedades autoinmunitarias, como la enfermedad de Addison, diabetes mellitus tipo 1, entre otras. La existencia de anticuerpos antitiroideos en el contexto del hipotiroidismo subclínico se considera un factor de riesgo de progresión a hipotiroidismo manifiesto, aproximadamente de 10% por año. (10)</w:t>
      </w:r>
    </w:p>
    <w:p w14:paraId="03C9BFE3" w14:textId="77777777" w:rsidR="002C2DFC" w:rsidRPr="00143EDA" w:rsidRDefault="002C2DFC" w:rsidP="00143EDA">
      <w:pPr>
        <w:spacing w:line="276" w:lineRule="auto"/>
        <w:jc w:val="both"/>
        <w:rPr>
          <w:rFonts w:asciiTheme="minorHAnsi" w:hAnsiTheme="minorHAnsi" w:cstheme="minorHAnsi"/>
          <w:sz w:val="24"/>
          <w:szCs w:val="24"/>
        </w:rPr>
      </w:pPr>
    </w:p>
    <w:p w14:paraId="55124F19" w14:textId="650ADA70" w:rsidR="002C2DFC" w:rsidRDefault="002C2DFC" w:rsidP="00143EDA">
      <w:pPr>
        <w:spacing w:line="276" w:lineRule="auto"/>
        <w:jc w:val="both"/>
        <w:rPr>
          <w:rFonts w:asciiTheme="minorHAnsi" w:hAnsiTheme="minorHAnsi" w:cstheme="minorHAnsi"/>
          <w:sz w:val="24"/>
          <w:szCs w:val="24"/>
        </w:rPr>
      </w:pPr>
      <w:r w:rsidRPr="00143EDA">
        <w:rPr>
          <w:rFonts w:asciiTheme="minorHAnsi" w:hAnsiTheme="minorHAnsi" w:cstheme="minorHAnsi"/>
          <w:sz w:val="24"/>
          <w:szCs w:val="24"/>
        </w:rPr>
        <w:t>En definitiva, un déficit de yodo provoca una descompensación tiroidea ya que la gestante no puede subsanar las alteraciones fisiológicas producidas, desencadenando el hipotiroidismo, el cual, si no es tratado, o tratado de forma inadecuada provoca anemia materna, dolor muscular, debilidad, insuficiencia cardíaca, preeclampsia, anormalidades de la placenta, niños de bajo peso al nacer, y hemorragia postparto, entre otras. La mayoría de las mujeres con hipotiroidismo pueden no tener ningún síntoma o atribuir los síntomas que tienen al embarazo, y es enfermería, en su valoración al paciente, quién deberá identificar los signos y síntomas, comúnmente vagos e inespecíficos, especialmente a comienzos del embarazo provenientes de una alteración patológica (11)</w:t>
      </w:r>
      <w:r w:rsidR="00B73F43" w:rsidRPr="00143EDA">
        <w:rPr>
          <w:rFonts w:asciiTheme="minorHAnsi" w:hAnsiTheme="minorHAnsi" w:cstheme="minorHAnsi"/>
          <w:sz w:val="24"/>
          <w:szCs w:val="24"/>
        </w:rPr>
        <w:t xml:space="preserve"> </w:t>
      </w:r>
    </w:p>
    <w:p w14:paraId="144FB706" w14:textId="77777777" w:rsidR="00BC103B" w:rsidRDefault="00BC103B" w:rsidP="00143EDA">
      <w:pPr>
        <w:spacing w:line="276" w:lineRule="auto"/>
        <w:jc w:val="both"/>
        <w:rPr>
          <w:rFonts w:asciiTheme="minorHAnsi" w:hAnsiTheme="minorHAnsi" w:cstheme="minorHAnsi"/>
          <w:sz w:val="24"/>
          <w:szCs w:val="24"/>
        </w:rPr>
      </w:pPr>
    </w:p>
    <w:p w14:paraId="7740FD94" w14:textId="77777777" w:rsidR="00BC103B" w:rsidRPr="00143EDA" w:rsidRDefault="00BC103B" w:rsidP="00143EDA">
      <w:pPr>
        <w:spacing w:line="276" w:lineRule="auto"/>
        <w:jc w:val="both"/>
        <w:rPr>
          <w:rFonts w:asciiTheme="minorHAnsi" w:hAnsiTheme="minorHAnsi" w:cstheme="minorHAnsi"/>
          <w:sz w:val="24"/>
          <w:szCs w:val="24"/>
        </w:rPr>
      </w:pPr>
    </w:p>
    <w:p w14:paraId="5FC87817" w14:textId="0B5DFA5C" w:rsidR="002C2DFC" w:rsidRPr="00143EDA" w:rsidRDefault="00BC103B" w:rsidP="00143EDA">
      <w:pPr>
        <w:spacing w:line="276" w:lineRule="auto"/>
        <w:jc w:val="both"/>
        <w:rPr>
          <w:rFonts w:asciiTheme="minorHAnsi" w:hAnsiTheme="minorHAnsi" w:cstheme="minorHAnsi"/>
          <w:b/>
          <w:bCs/>
          <w:color w:val="000000" w:themeColor="text1"/>
          <w:sz w:val="24"/>
          <w:szCs w:val="24"/>
        </w:rPr>
      </w:pPr>
      <w:r>
        <w:rPr>
          <w:noProof/>
        </w:rPr>
        <w:lastRenderedPageBreak/>
        <w:drawing>
          <wp:anchor distT="0" distB="0" distL="0" distR="0" simplePos="0" relativeHeight="251700224" behindDoc="1" locked="0" layoutInCell="1" allowOverlap="1" wp14:anchorId="2F5A58DD" wp14:editId="500823ED">
            <wp:simplePos x="0" y="0"/>
            <wp:positionH relativeFrom="margin">
              <wp:posOffset>-198120</wp:posOffset>
            </wp:positionH>
            <wp:positionV relativeFrom="margin">
              <wp:posOffset>-317500</wp:posOffset>
            </wp:positionV>
            <wp:extent cx="6661785" cy="9500459"/>
            <wp:effectExtent l="0" t="0" r="5715" b="5715"/>
            <wp:wrapNone/>
            <wp:docPr id="81133812"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3812" name="image2.png" descr="Patrón de fondo&#10;&#10;Descripción generada automáticamente con confianza media"/>
                    <pic:cNvPicPr/>
                  </pic:nvPicPr>
                  <pic:blipFill>
                    <a:blip r:embed="rId10" cstate="print"/>
                    <a:stretch>
                      <a:fillRect/>
                    </a:stretch>
                  </pic:blipFill>
                  <pic:spPr>
                    <a:xfrm>
                      <a:off x="0" y="0"/>
                      <a:ext cx="6669068" cy="9510845"/>
                    </a:xfrm>
                    <a:prstGeom prst="rect">
                      <a:avLst/>
                    </a:prstGeom>
                  </pic:spPr>
                </pic:pic>
              </a:graphicData>
            </a:graphic>
            <wp14:sizeRelH relativeFrom="margin">
              <wp14:pctWidth>0</wp14:pctWidth>
            </wp14:sizeRelH>
            <wp14:sizeRelV relativeFrom="margin">
              <wp14:pctHeight>0</wp14:pctHeight>
            </wp14:sizeRelV>
          </wp:anchor>
        </w:drawing>
      </w:r>
      <w:r w:rsidR="002C2DFC" w:rsidRPr="00143EDA">
        <w:rPr>
          <w:rFonts w:asciiTheme="minorHAnsi" w:hAnsiTheme="minorHAnsi" w:cstheme="minorHAnsi"/>
          <w:b/>
          <w:bCs/>
          <w:color w:val="000000" w:themeColor="text1"/>
          <w:sz w:val="24"/>
          <w:szCs w:val="24"/>
        </w:rPr>
        <w:t>Tabla # 1: Etiología más frecuentes en hipotiroidismo</w:t>
      </w:r>
      <w:r w:rsidR="002C2DFC" w:rsidRPr="00143EDA">
        <w:rPr>
          <w:rFonts w:asciiTheme="minorHAnsi" w:hAnsiTheme="minorHAnsi" w:cstheme="minorHAnsi"/>
          <w:b/>
          <w:bCs/>
          <w:color w:val="000000" w:themeColor="text1"/>
          <w:sz w:val="24"/>
          <w:szCs w:val="24"/>
          <w:highlight w:val="yellow"/>
        </w:rPr>
        <w:fldChar w:fldCharType="begin"/>
      </w:r>
      <w:r w:rsidR="002C2DFC" w:rsidRPr="00143EDA">
        <w:rPr>
          <w:rFonts w:asciiTheme="minorHAnsi" w:hAnsiTheme="minorHAnsi" w:cstheme="minorHAnsi"/>
          <w:b/>
          <w:bCs/>
          <w:color w:val="000000" w:themeColor="text1"/>
          <w:sz w:val="24"/>
          <w:szCs w:val="24"/>
          <w:highlight w:val="yellow"/>
        </w:rPr>
        <w:instrText xml:space="preserve"> LINK Excel.Sheet.12 "Libro1" "Hoja1!F4C11:F11C12" \a \f 4 \h  \* MERGEFORMAT </w:instrText>
      </w:r>
      <w:r w:rsidR="002C2DFC" w:rsidRPr="00143EDA">
        <w:rPr>
          <w:rFonts w:asciiTheme="minorHAnsi" w:hAnsiTheme="minorHAnsi" w:cstheme="minorHAnsi"/>
          <w:b/>
          <w:bCs/>
          <w:color w:val="000000" w:themeColor="text1"/>
          <w:sz w:val="24"/>
          <w:szCs w:val="24"/>
          <w:highlight w:val="yellow"/>
        </w:rPr>
        <w:fldChar w:fldCharType="separate"/>
      </w:r>
    </w:p>
    <w:tbl>
      <w:tblPr>
        <w:tblW w:w="9299" w:type="dxa"/>
        <w:tblCellMar>
          <w:left w:w="70" w:type="dxa"/>
          <w:right w:w="70" w:type="dxa"/>
        </w:tblCellMar>
        <w:tblLook w:val="04A0" w:firstRow="1" w:lastRow="0" w:firstColumn="1" w:lastColumn="0" w:noHBand="0" w:noVBand="1"/>
      </w:tblPr>
      <w:tblGrid>
        <w:gridCol w:w="2223"/>
        <w:gridCol w:w="7076"/>
      </w:tblGrid>
      <w:tr w:rsidR="002C2DFC" w:rsidRPr="00143EDA" w14:paraId="78730299" w14:textId="77777777" w:rsidTr="002C2DFC">
        <w:trPr>
          <w:trHeight w:val="382"/>
        </w:trPr>
        <w:tc>
          <w:tcPr>
            <w:tcW w:w="222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8B40624" w14:textId="77777777" w:rsidR="002C2DFC" w:rsidRPr="00143EDA" w:rsidRDefault="002C2DFC" w:rsidP="00143EDA">
            <w:pPr>
              <w:spacing w:line="276" w:lineRule="auto"/>
              <w:jc w:val="both"/>
              <w:rPr>
                <w:rFonts w:asciiTheme="minorHAnsi" w:eastAsia="Times New Roman" w:hAnsiTheme="minorHAnsi" w:cstheme="minorHAnsi"/>
                <w:b/>
                <w:bCs/>
                <w:color w:val="000000" w:themeColor="text1"/>
                <w:sz w:val="20"/>
                <w:szCs w:val="20"/>
              </w:rPr>
            </w:pPr>
            <w:bookmarkStart w:id="2" w:name="_Hlk178594761"/>
            <w:r w:rsidRPr="00143EDA">
              <w:rPr>
                <w:rFonts w:asciiTheme="minorHAnsi" w:eastAsia="Times New Roman" w:hAnsiTheme="minorHAnsi" w:cstheme="minorHAnsi"/>
                <w:b/>
                <w:bCs/>
                <w:color w:val="000000" w:themeColor="text1"/>
                <w:sz w:val="20"/>
                <w:szCs w:val="20"/>
              </w:rPr>
              <w:t>Etiología</w:t>
            </w:r>
          </w:p>
        </w:tc>
        <w:tc>
          <w:tcPr>
            <w:tcW w:w="7076" w:type="dxa"/>
            <w:tcBorders>
              <w:top w:val="single" w:sz="4" w:space="0" w:color="auto"/>
              <w:left w:val="nil"/>
              <w:bottom w:val="single" w:sz="4" w:space="0" w:color="auto"/>
              <w:right w:val="single" w:sz="4" w:space="0" w:color="auto"/>
            </w:tcBorders>
            <w:shd w:val="clear" w:color="000000" w:fill="FFFFFF"/>
            <w:vAlign w:val="bottom"/>
            <w:hideMark/>
          </w:tcPr>
          <w:p w14:paraId="1D5C4941" w14:textId="77777777" w:rsidR="002C2DFC" w:rsidRPr="00143EDA" w:rsidRDefault="002C2DFC" w:rsidP="00143EDA">
            <w:pPr>
              <w:spacing w:line="276" w:lineRule="auto"/>
              <w:jc w:val="both"/>
              <w:rPr>
                <w:rFonts w:asciiTheme="minorHAnsi" w:eastAsia="Times New Roman" w:hAnsiTheme="minorHAnsi" w:cstheme="minorHAnsi"/>
                <w:b/>
                <w:bCs/>
                <w:color w:val="000000" w:themeColor="text1"/>
                <w:sz w:val="20"/>
                <w:szCs w:val="20"/>
              </w:rPr>
            </w:pPr>
            <w:r w:rsidRPr="00143EDA">
              <w:rPr>
                <w:rFonts w:asciiTheme="minorHAnsi" w:eastAsia="Times New Roman" w:hAnsiTheme="minorHAnsi" w:cstheme="minorHAnsi"/>
                <w:b/>
                <w:bCs/>
                <w:color w:val="000000" w:themeColor="text1"/>
                <w:sz w:val="20"/>
                <w:szCs w:val="20"/>
              </w:rPr>
              <w:t xml:space="preserve">Estudios revisados </w:t>
            </w:r>
          </w:p>
        </w:tc>
      </w:tr>
      <w:tr w:rsidR="002C2DFC" w:rsidRPr="00143EDA" w14:paraId="106E33DC" w14:textId="77777777" w:rsidTr="002C2DFC">
        <w:trPr>
          <w:trHeight w:val="627"/>
        </w:trPr>
        <w:tc>
          <w:tcPr>
            <w:tcW w:w="2223" w:type="dxa"/>
            <w:tcBorders>
              <w:top w:val="nil"/>
              <w:left w:val="single" w:sz="4" w:space="0" w:color="auto"/>
              <w:bottom w:val="single" w:sz="4" w:space="0" w:color="auto"/>
              <w:right w:val="single" w:sz="4" w:space="0" w:color="auto"/>
            </w:tcBorders>
            <w:shd w:val="clear" w:color="000000" w:fill="FFFFFF"/>
            <w:vAlign w:val="center"/>
            <w:hideMark/>
          </w:tcPr>
          <w:p w14:paraId="6F37AC6D" w14:textId="77777777" w:rsidR="002C2DFC" w:rsidRPr="00143EDA" w:rsidRDefault="002C2DFC" w:rsidP="00143EDA">
            <w:pPr>
              <w:spacing w:line="276" w:lineRule="auto"/>
              <w:jc w:val="both"/>
              <w:rPr>
                <w:rFonts w:asciiTheme="minorHAnsi" w:eastAsia="Times New Roman" w:hAnsiTheme="minorHAnsi" w:cstheme="minorHAnsi"/>
                <w:b/>
                <w:bCs/>
                <w:color w:val="000000" w:themeColor="text1"/>
                <w:sz w:val="20"/>
                <w:szCs w:val="20"/>
              </w:rPr>
            </w:pPr>
            <w:r w:rsidRPr="00143EDA">
              <w:rPr>
                <w:rFonts w:asciiTheme="minorHAnsi" w:eastAsia="Times New Roman" w:hAnsiTheme="minorHAnsi" w:cstheme="minorHAnsi"/>
                <w:b/>
                <w:bCs/>
                <w:color w:val="000000" w:themeColor="text1"/>
                <w:sz w:val="20"/>
                <w:szCs w:val="20"/>
              </w:rPr>
              <w:t>Trastornos autoinmunes</w:t>
            </w:r>
          </w:p>
        </w:tc>
        <w:tc>
          <w:tcPr>
            <w:tcW w:w="7076" w:type="dxa"/>
            <w:tcBorders>
              <w:top w:val="nil"/>
              <w:left w:val="nil"/>
              <w:bottom w:val="single" w:sz="4" w:space="0" w:color="auto"/>
              <w:right w:val="single" w:sz="4" w:space="0" w:color="auto"/>
            </w:tcBorders>
            <w:shd w:val="clear" w:color="000000" w:fill="FFFFFF"/>
            <w:vAlign w:val="center"/>
            <w:hideMark/>
          </w:tcPr>
          <w:p w14:paraId="45DED3C0"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0"/>
                <w:szCs w:val="20"/>
              </w:rPr>
            </w:pPr>
            <w:r w:rsidRPr="00143EDA">
              <w:rPr>
                <w:rFonts w:asciiTheme="minorHAnsi" w:eastAsia="Times New Roman" w:hAnsiTheme="minorHAnsi" w:cstheme="minorHAnsi"/>
                <w:color w:val="000000" w:themeColor="text1"/>
                <w:sz w:val="20"/>
                <w:szCs w:val="20"/>
              </w:rPr>
              <w:t>Afecciones como la tiroiditis de Hashimoto provocan la destrucción de la glándula tiroides (</w:t>
            </w:r>
            <w:proofErr w:type="spellStart"/>
            <w:r w:rsidRPr="00143EDA">
              <w:rPr>
                <w:rFonts w:asciiTheme="minorHAnsi" w:eastAsia="Times New Roman" w:hAnsiTheme="minorHAnsi" w:cstheme="minorHAnsi"/>
                <w:color w:val="000000" w:themeColor="text1"/>
                <w:sz w:val="20"/>
                <w:szCs w:val="20"/>
              </w:rPr>
              <w:t>Zamwar</w:t>
            </w:r>
            <w:proofErr w:type="spellEnd"/>
            <w:r w:rsidRPr="00143EDA">
              <w:rPr>
                <w:rFonts w:asciiTheme="minorHAnsi" w:eastAsia="Times New Roman" w:hAnsiTheme="minorHAnsi" w:cstheme="minorHAnsi"/>
                <w:color w:val="000000" w:themeColor="text1"/>
                <w:sz w:val="20"/>
                <w:szCs w:val="20"/>
              </w:rPr>
              <w:t xml:space="preserve"> y </w:t>
            </w:r>
            <w:proofErr w:type="spellStart"/>
            <w:r w:rsidRPr="00143EDA">
              <w:rPr>
                <w:rFonts w:asciiTheme="minorHAnsi" w:eastAsia="Times New Roman" w:hAnsiTheme="minorHAnsi" w:cstheme="minorHAnsi"/>
                <w:color w:val="000000" w:themeColor="text1"/>
                <w:sz w:val="20"/>
                <w:szCs w:val="20"/>
              </w:rPr>
              <w:t>Muneshwar</w:t>
            </w:r>
            <w:proofErr w:type="spellEnd"/>
            <w:r w:rsidRPr="00143EDA">
              <w:rPr>
                <w:rFonts w:asciiTheme="minorHAnsi" w:eastAsia="Times New Roman" w:hAnsiTheme="minorHAnsi" w:cstheme="minorHAnsi"/>
                <w:color w:val="000000" w:themeColor="text1"/>
                <w:sz w:val="20"/>
                <w:szCs w:val="20"/>
              </w:rPr>
              <w:t xml:space="preserve">, 2023) (Almandoz y </w:t>
            </w:r>
            <w:proofErr w:type="spellStart"/>
            <w:r w:rsidRPr="00143EDA">
              <w:rPr>
                <w:rFonts w:asciiTheme="minorHAnsi" w:eastAsia="Times New Roman" w:hAnsiTheme="minorHAnsi" w:cstheme="minorHAnsi"/>
                <w:color w:val="000000" w:themeColor="text1"/>
                <w:sz w:val="20"/>
                <w:szCs w:val="20"/>
              </w:rPr>
              <w:t>Gharib</w:t>
            </w:r>
            <w:proofErr w:type="spellEnd"/>
            <w:r w:rsidRPr="00143EDA">
              <w:rPr>
                <w:rFonts w:asciiTheme="minorHAnsi" w:eastAsia="Times New Roman" w:hAnsiTheme="minorHAnsi" w:cstheme="minorHAnsi"/>
                <w:color w:val="000000" w:themeColor="text1"/>
                <w:sz w:val="20"/>
                <w:szCs w:val="20"/>
              </w:rPr>
              <w:t>, 2012).</w:t>
            </w:r>
          </w:p>
        </w:tc>
      </w:tr>
      <w:tr w:rsidR="002C2DFC" w:rsidRPr="00143EDA" w14:paraId="596941EE" w14:textId="77777777" w:rsidTr="002C2DFC">
        <w:trPr>
          <w:trHeight w:val="852"/>
        </w:trPr>
        <w:tc>
          <w:tcPr>
            <w:tcW w:w="2223" w:type="dxa"/>
            <w:tcBorders>
              <w:top w:val="nil"/>
              <w:left w:val="single" w:sz="4" w:space="0" w:color="auto"/>
              <w:bottom w:val="single" w:sz="4" w:space="0" w:color="auto"/>
              <w:right w:val="single" w:sz="4" w:space="0" w:color="auto"/>
            </w:tcBorders>
            <w:shd w:val="clear" w:color="000000" w:fill="FFFFFF"/>
            <w:vAlign w:val="center"/>
            <w:hideMark/>
          </w:tcPr>
          <w:p w14:paraId="6EC840DB" w14:textId="77777777" w:rsidR="002C2DFC" w:rsidRPr="00143EDA" w:rsidRDefault="002C2DFC" w:rsidP="00143EDA">
            <w:pPr>
              <w:spacing w:line="276" w:lineRule="auto"/>
              <w:jc w:val="both"/>
              <w:rPr>
                <w:rFonts w:asciiTheme="minorHAnsi" w:eastAsia="Times New Roman" w:hAnsiTheme="minorHAnsi" w:cstheme="minorHAnsi"/>
                <w:b/>
                <w:bCs/>
                <w:color w:val="000000" w:themeColor="text1"/>
                <w:sz w:val="20"/>
                <w:szCs w:val="20"/>
              </w:rPr>
            </w:pPr>
            <w:r w:rsidRPr="00143EDA">
              <w:rPr>
                <w:rFonts w:asciiTheme="minorHAnsi" w:eastAsia="Times New Roman" w:hAnsiTheme="minorHAnsi" w:cstheme="minorHAnsi"/>
                <w:b/>
                <w:bCs/>
                <w:color w:val="000000" w:themeColor="text1"/>
                <w:sz w:val="20"/>
                <w:szCs w:val="20"/>
              </w:rPr>
              <w:t>Deficiencia de yodo</w:t>
            </w:r>
          </w:p>
        </w:tc>
        <w:tc>
          <w:tcPr>
            <w:tcW w:w="7076" w:type="dxa"/>
            <w:tcBorders>
              <w:top w:val="nil"/>
              <w:left w:val="nil"/>
              <w:bottom w:val="single" w:sz="4" w:space="0" w:color="auto"/>
              <w:right w:val="single" w:sz="4" w:space="0" w:color="auto"/>
            </w:tcBorders>
            <w:shd w:val="clear" w:color="000000" w:fill="FFFFFF"/>
            <w:vAlign w:val="center"/>
            <w:hideMark/>
          </w:tcPr>
          <w:p w14:paraId="136D0BC5"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0"/>
                <w:szCs w:val="20"/>
              </w:rPr>
            </w:pPr>
            <w:r w:rsidRPr="00143EDA">
              <w:rPr>
                <w:rFonts w:asciiTheme="minorHAnsi" w:eastAsia="Times New Roman" w:hAnsiTheme="minorHAnsi" w:cstheme="minorHAnsi"/>
                <w:color w:val="000000" w:themeColor="text1"/>
                <w:sz w:val="20"/>
                <w:szCs w:val="20"/>
              </w:rPr>
              <w:t>Una causa importante a nivel mundial, particularmente en áreas con bajo contenido de yodo en la dieta ("La etiología del hipotiroidismo es revelada por las metodologías de estudio de la Asociación de Genética Alternativa", 2022).</w:t>
            </w:r>
          </w:p>
        </w:tc>
      </w:tr>
      <w:tr w:rsidR="002C2DFC" w:rsidRPr="00143EDA" w14:paraId="316E4695" w14:textId="77777777" w:rsidTr="002C2DFC">
        <w:trPr>
          <w:trHeight w:val="718"/>
        </w:trPr>
        <w:tc>
          <w:tcPr>
            <w:tcW w:w="2223" w:type="dxa"/>
            <w:tcBorders>
              <w:top w:val="nil"/>
              <w:left w:val="single" w:sz="4" w:space="0" w:color="auto"/>
              <w:bottom w:val="single" w:sz="4" w:space="0" w:color="auto"/>
              <w:right w:val="single" w:sz="4" w:space="0" w:color="auto"/>
            </w:tcBorders>
            <w:shd w:val="clear" w:color="000000" w:fill="FFFFFF"/>
            <w:vAlign w:val="center"/>
            <w:hideMark/>
          </w:tcPr>
          <w:p w14:paraId="36133E99" w14:textId="77777777" w:rsidR="002C2DFC" w:rsidRPr="00143EDA" w:rsidRDefault="002C2DFC" w:rsidP="00143EDA">
            <w:pPr>
              <w:spacing w:line="276" w:lineRule="auto"/>
              <w:jc w:val="both"/>
              <w:rPr>
                <w:rFonts w:asciiTheme="minorHAnsi" w:eastAsia="Times New Roman" w:hAnsiTheme="minorHAnsi" w:cstheme="minorHAnsi"/>
                <w:b/>
                <w:bCs/>
                <w:color w:val="000000" w:themeColor="text1"/>
                <w:sz w:val="20"/>
                <w:szCs w:val="20"/>
              </w:rPr>
            </w:pPr>
            <w:r w:rsidRPr="00143EDA">
              <w:rPr>
                <w:rFonts w:asciiTheme="minorHAnsi" w:eastAsia="Times New Roman" w:hAnsiTheme="minorHAnsi" w:cstheme="minorHAnsi"/>
                <w:b/>
                <w:bCs/>
                <w:color w:val="000000" w:themeColor="text1"/>
                <w:sz w:val="20"/>
                <w:szCs w:val="20"/>
              </w:rPr>
              <w:t>Cirugía de tiroides</w:t>
            </w:r>
          </w:p>
        </w:tc>
        <w:tc>
          <w:tcPr>
            <w:tcW w:w="7076" w:type="dxa"/>
            <w:tcBorders>
              <w:top w:val="nil"/>
              <w:left w:val="nil"/>
              <w:bottom w:val="single" w:sz="4" w:space="0" w:color="auto"/>
              <w:right w:val="single" w:sz="4" w:space="0" w:color="auto"/>
            </w:tcBorders>
            <w:shd w:val="clear" w:color="000000" w:fill="FFFFFF"/>
            <w:vAlign w:val="center"/>
            <w:hideMark/>
          </w:tcPr>
          <w:p w14:paraId="1B554615"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0"/>
                <w:szCs w:val="20"/>
              </w:rPr>
            </w:pPr>
            <w:r w:rsidRPr="00143EDA">
              <w:rPr>
                <w:rFonts w:asciiTheme="minorHAnsi" w:eastAsia="Times New Roman" w:hAnsiTheme="minorHAnsi" w:cstheme="minorHAnsi"/>
                <w:color w:val="000000" w:themeColor="text1"/>
                <w:sz w:val="20"/>
                <w:szCs w:val="20"/>
              </w:rPr>
              <w:t>La extirpación de la glándula tiroides puede provocar hipotiroidismo (</w:t>
            </w:r>
            <w:proofErr w:type="spellStart"/>
            <w:r w:rsidRPr="00143EDA">
              <w:rPr>
                <w:rFonts w:asciiTheme="minorHAnsi" w:eastAsia="Times New Roman" w:hAnsiTheme="minorHAnsi" w:cstheme="minorHAnsi"/>
                <w:color w:val="000000" w:themeColor="text1"/>
                <w:sz w:val="20"/>
                <w:szCs w:val="20"/>
              </w:rPr>
              <w:t>Zamwar</w:t>
            </w:r>
            <w:proofErr w:type="spellEnd"/>
            <w:r w:rsidRPr="00143EDA">
              <w:rPr>
                <w:rFonts w:asciiTheme="minorHAnsi" w:eastAsia="Times New Roman" w:hAnsiTheme="minorHAnsi" w:cstheme="minorHAnsi"/>
                <w:color w:val="000000" w:themeColor="text1"/>
                <w:sz w:val="20"/>
                <w:szCs w:val="20"/>
              </w:rPr>
              <w:t xml:space="preserve"> y </w:t>
            </w:r>
            <w:proofErr w:type="spellStart"/>
            <w:r w:rsidRPr="00143EDA">
              <w:rPr>
                <w:rFonts w:asciiTheme="minorHAnsi" w:eastAsia="Times New Roman" w:hAnsiTheme="minorHAnsi" w:cstheme="minorHAnsi"/>
                <w:color w:val="000000" w:themeColor="text1"/>
                <w:sz w:val="20"/>
                <w:szCs w:val="20"/>
              </w:rPr>
              <w:t>Muneshwar</w:t>
            </w:r>
            <w:proofErr w:type="spellEnd"/>
            <w:r w:rsidRPr="00143EDA">
              <w:rPr>
                <w:rFonts w:asciiTheme="minorHAnsi" w:eastAsia="Times New Roman" w:hAnsiTheme="minorHAnsi" w:cstheme="minorHAnsi"/>
                <w:color w:val="000000" w:themeColor="text1"/>
                <w:sz w:val="20"/>
                <w:szCs w:val="20"/>
              </w:rPr>
              <w:t>, 2023).</w:t>
            </w:r>
          </w:p>
        </w:tc>
      </w:tr>
      <w:tr w:rsidR="002C2DFC" w:rsidRPr="00143EDA" w14:paraId="3D0C85DC" w14:textId="77777777" w:rsidTr="002C2DFC">
        <w:trPr>
          <w:trHeight w:val="521"/>
        </w:trPr>
        <w:tc>
          <w:tcPr>
            <w:tcW w:w="2223" w:type="dxa"/>
            <w:tcBorders>
              <w:top w:val="nil"/>
              <w:left w:val="single" w:sz="4" w:space="0" w:color="auto"/>
              <w:bottom w:val="single" w:sz="4" w:space="0" w:color="auto"/>
              <w:right w:val="single" w:sz="4" w:space="0" w:color="auto"/>
            </w:tcBorders>
            <w:shd w:val="clear" w:color="000000" w:fill="FFFFFF"/>
            <w:vAlign w:val="center"/>
            <w:hideMark/>
          </w:tcPr>
          <w:p w14:paraId="6E968962" w14:textId="77777777" w:rsidR="002C2DFC" w:rsidRPr="00143EDA" w:rsidRDefault="002C2DFC" w:rsidP="00143EDA">
            <w:pPr>
              <w:spacing w:line="276" w:lineRule="auto"/>
              <w:jc w:val="both"/>
              <w:rPr>
                <w:rFonts w:asciiTheme="minorHAnsi" w:eastAsia="Times New Roman" w:hAnsiTheme="minorHAnsi" w:cstheme="minorHAnsi"/>
                <w:b/>
                <w:bCs/>
                <w:color w:val="000000" w:themeColor="text1"/>
                <w:sz w:val="20"/>
                <w:szCs w:val="20"/>
              </w:rPr>
            </w:pPr>
            <w:r w:rsidRPr="00143EDA">
              <w:rPr>
                <w:rFonts w:asciiTheme="minorHAnsi" w:eastAsia="Times New Roman" w:hAnsiTheme="minorHAnsi" w:cstheme="minorHAnsi"/>
                <w:b/>
                <w:bCs/>
                <w:color w:val="000000" w:themeColor="text1"/>
                <w:sz w:val="20"/>
                <w:szCs w:val="20"/>
              </w:rPr>
              <w:t>Radioterapia</w:t>
            </w:r>
          </w:p>
        </w:tc>
        <w:tc>
          <w:tcPr>
            <w:tcW w:w="7076" w:type="dxa"/>
            <w:tcBorders>
              <w:top w:val="nil"/>
              <w:left w:val="nil"/>
              <w:bottom w:val="single" w:sz="4" w:space="0" w:color="auto"/>
              <w:right w:val="single" w:sz="4" w:space="0" w:color="auto"/>
            </w:tcBorders>
            <w:shd w:val="clear" w:color="000000" w:fill="FFFFFF"/>
            <w:vAlign w:val="center"/>
            <w:hideMark/>
          </w:tcPr>
          <w:p w14:paraId="20216AD7"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0"/>
                <w:szCs w:val="20"/>
              </w:rPr>
            </w:pPr>
            <w:r w:rsidRPr="00143EDA">
              <w:rPr>
                <w:rFonts w:asciiTheme="minorHAnsi" w:eastAsia="Times New Roman" w:hAnsiTheme="minorHAnsi" w:cstheme="minorHAnsi"/>
                <w:color w:val="000000" w:themeColor="text1"/>
                <w:sz w:val="20"/>
                <w:szCs w:val="20"/>
              </w:rPr>
              <w:t>El tratamiento del cáncer puede dañar la tiroides (</w:t>
            </w:r>
            <w:proofErr w:type="spellStart"/>
            <w:r w:rsidRPr="00143EDA">
              <w:rPr>
                <w:rFonts w:asciiTheme="minorHAnsi" w:eastAsia="Times New Roman" w:hAnsiTheme="minorHAnsi" w:cstheme="minorHAnsi"/>
                <w:color w:val="000000" w:themeColor="text1"/>
                <w:sz w:val="20"/>
                <w:szCs w:val="20"/>
              </w:rPr>
              <w:t>Zamwar</w:t>
            </w:r>
            <w:proofErr w:type="spellEnd"/>
            <w:r w:rsidRPr="00143EDA">
              <w:rPr>
                <w:rFonts w:asciiTheme="minorHAnsi" w:eastAsia="Times New Roman" w:hAnsiTheme="minorHAnsi" w:cstheme="minorHAnsi"/>
                <w:color w:val="000000" w:themeColor="text1"/>
                <w:sz w:val="20"/>
                <w:szCs w:val="20"/>
              </w:rPr>
              <w:t xml:space="preserve"> y </w:t>
            </w:r>
            <w:proofErr w:type="spellStart"/>
            <w:r w:rsidRPr="00143EDA">
              <w:rPr>
                <w:rFonts w:asciiTheme="minorHAnsi" w:eastAsia="Times New Roman" w:hAnsiTheme="minorHAnsi" w:cstheme="minorHAnsi"/>
                <w:color w:val="000000" w:themeColor="text1"/>
                <w:sz w:val="20"/>
                <w:szCs w:val="20"/>
              </w:rPr>
              <w:t>Muneshwar</w:t>
            </w:r>
            <w:proofErr w:type="spellEnd"/>
            <w:r w:rsidRPr="00143EDA">
              <w:rPr>
                <w:rFonts w:asciiTheme="minorHAnsi" w:eastAsia="Times New Roman" w:hAnsiTheme="minorHAnsi" w:cstheme="minorHAnsi"/>
                <w:color w:val="000000" w:themeColor="text1"/>
                <w:sz w:val="20"/>
                <w:szCs w:val="20"/>
              </w:rPr>
              <w:t>, 2023).</w:t>
            </w:r>
          </w:p>
        </w:tc>
      </w:tr>
      <w:tr w:rsidR="002C2DFC" w:rsidRPr="00143EDA" w14:paraId="376C4935" w14:textId="77777777" w:rsidTr="002C2DFC">
        <w:trPr>
          <w:trHeight w:val="582"/>
        </w:trPr>
        <w:tc>
          <w:tcPr>
            <w:tcW w:w="2223" w:type="dxa"/>
            <w:tcBorders>
              <w:top w:val="nil"/>
              <w:left w:val="single" w:sz="4" w:space="0" w:color="auto"/>
              <w:bottom w:val="single" w:sz="4" w:space="0" w:color="auto"/>
              <w:right w:val="single" w:sz="4" w:space="0" w:color="auto"/>
            </w:tcBorders>
            <w:shd w:val="clear" w:color="000000" w:fill="FFFFFF"/>
            <w:vAlign w:val="center"/>
            <w:hideMark/>
          </w:tcPr>
          <w:p w14:paraId="247814E7" w14:textId="77777777" w:rsidR="002C2DFC" w:rsidRPr="00143EDA" w:rsidRDefault="002C2DFC" w:rsidP="00143EDA">
            <w:pPr>
              <w:spacing w:line="276" w:lineRule="auto"/>
              <w:jc w:val="both"/>
              <w:rPr>
                <w:rFonts w:asciiTheme="minorHAnsi" w:eastAsia="Times New Roman" w:hAnsiTheme="minorHAnsi" w:cstheme="minorHAnsi"/>
                <w:b/>
                <w:bCs/>
                <w:color w:val="000000" w:themeColor="text1"/>
                <w:sz w:val="20"/>
                <w:szCs w:val="20"/>
              </w:rPr>
            </w:pPr>
            <w:r w:rsidRPr="00143EDA">
              <w:rPr>
                <w:rFonts w:asciiTheme="minorHAnsi" w:eastAsia="Times New Roman" w:hAnsiTheme="minorHAnsi" w:cstheme="minorHAnsi"/>
                <w:b/>
                <w:bCs/>
                <w:color w:val="000000" w:themeColor="text1"/>
                <w:sz w:val="20"/>
                <w:szCs w:val="20"/>
              </w:rPr>
              <w:t>Hipotiroidismo congénito</w:t>
            </w:r>
          </w:p>
        </w:tc>
        <w:tc>
          <w:tcPr>
            <w:tcW w:w="7076" w:type="dxa"/>
            <w:tcBorders>
              <w:top w:val="nil"/>
              <w:left w:val="nil"/>
              <w:bottom w:val="single" w:sz="4" w:space="0" w:color="auto"/>
              <w:right w:val="single" w:sz="4" w:space="0" w:color="auto"/>
            </w:tcBorders>
            <w:shd w:val="clear" w:color="000000" w:fill="FFFFFF"/>
            <w:vAlign w:val="center"/>
            <w:hideMark/>
          </w:tcPr>
          <w:p w14:paraId="2DC69C70"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0"/>
                <w:szCs w:val="20"/>
              </w:rPr>
            </w:pPr>
            <w:r w:rsidRPr="00143EDA">
              <w:rPr>
                <w:rFonts w:asciiTheme="minorHAnsi" w:eastAsia="Times New Roman" w:hAnsiTheme="minorHAnsi" w:cstheme="minorHAnsi"/>
                <w:color w:val="000000" w:themeColor="text1"/>
                <w:sz w:val="20"/>
                <w:szCs w:val="20"/>
              </w:rPr>
              <w:t xml:space="preserve">Presente al nacer, a menudo debido a disgenesia tiroidea o </w:t>
            </w:r>
            <w:proofErr w:type="spellStart"/>
            <w:r w:rsidRPr="00143EDA">
              <w:rPr>
                <w:rFonts w:asciiTheme="minorHAnsi" w:eastAsia="Times New Roman" w:hAnsiTheme="minorHAnsi" w:cstheme="minorHAnsi"/>
                <w:color w:val="000000" w:themeColor="text1"/>
                <w:sz w:val="20"/>
                <w:szCs w:val="20"/>
              </w:rPr>
              <w:t>dishormonogénesis</w:t>
            </w:r>
            <w:proofErr w:type="spellEnd"/>
            <w:r w:rsidRPr="00143EDA">
              <w:rPr>
                <w:rFonts w:asciiTheme="minorHAnsi" w:eastAsia="Times New Roman" w:hAnsiTheme="minorHAnsi" w:cstheme="minorHAnsi"/>
                <w:color w:val="000000" w:themeColor="text1"/>
                <w:sz w:val="20"/>
                <w:szCs w:val="20"/>
              </w:rPr>
              <w:t xml:space="preserve"> (Bona et al., 2014).</w:t>
            </w:r>
          </w:p>
        </w:tc>
      </w:tr>
      <w:tr w:rsidR="002C2DFC" w:rsidRPr="00143EDA" w14:paraId="2BBEFDD8" w14:textId="77777777" w:rsidTr="002C2DFC">
        <w:trPr>
          <w:trHeight w:val="450"/>
        </w:trPr>
        <w:tc>
          <w:tcPr>
            <w:tcW w:w="2223" w:type="dxa"/>
            <w:tcBorders>
              <w:top w:val="nil"/>
              <w:left w:val="single" w:sz="4" w:space="0" w:color="auto"/>
              <w:bottom w:val="single" w:sz="4" w:space="0" w:color="auto"/>
              <w:right w:val="single" w:sz="4" w:space="0" w:color="auto"/>
            </w:tcBorders>
            <w:shd w:val="clear" w:color="000000" w:fill="FFFFFF"/>
            <w:vAlign w:val="center"/>
            <w:hideMark/>
          </w:tcPr>
          <w:p w14:paraId="50414BE5" w14:textId="77777777" w:rsidR="002C2DFC" w:rsidRPr="00143EDA" w:rsidRDefault="002C2DFC" w:rsidP="00143EDA">
            <w:pPr>
              <w:spacing w:line="276" w:lineRule="auto"/>
              <w:jc w:val="both"/>
              <w:rPr>
                <w:rFonts w:asciiTheme="minorHAnsi" w:eastAsia="Times New Roman" w:hAnsiTheme="minorHAnsi" w:cstheme="minorHAnsi"/>
                <w:b/>
                <w:bCs/>
                <w:color w:val="000000" w:themeColor="text1"/>
                <w:sz w:val="20"/>
                <w:szCs w:val="20"/>
              </w:rPr>
            </w:pPr>
            <w:r w:rsidRPr="00143EDA">
              <w:rPr>
                <w:rFonts w:asciiTheme="minorHAnsi" w:eastAsia="Times New Roman" w:hAnsiTheme="minorHAnsi" w:cstheme="minorHAnsi"/>
                <w:b/>
                <w:bCs/>
                <w:color w:val="000000" w:themeColor="text1"/>
                <w:sz w:val="20"/>
                <w:szCs w:val="20"/>
              </w:rPr>
              <w:t>Medicamentos (Litio)</w:t>
            </w:r>
          </w:p>
        </w:tc>
        <w:tc>
          <w:tcPr>
            <w:tcW w:w="7076" w:type="dxa"/>
            <w:tcBorders>
              <w:top w:val="nil"/>
              <w:left w:val="nil"/>
              <w:bottom w:val="single" w:sz="4" w:space="0" w:color="auto"/>
              <w:right w:val="single" w:sz="4" w:space="0" w:color="auto"/>
            </w:tcBorders>
            <w:shd w:val="clear" w:color="000000" w:fill="FFFFFF"/>
            <w:vAlign w:val="center"/>
            <w:hideMark/>
          </w:tcPr>
          <w:p w14:paraId="740981A1"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0"/>
                <w:szCs w:val="20"/>
              </w:rPr>
            </w:pPr>
            <w:r w:rsidRPr="00143EDA">
              <w:rPr>
                <w:rFonts w:asciiTheme="minorHAnsi" w:eastAsia="Times New Roman" w:hAnsiTheme="minorHAnsi" w:cstheme="minorHAnsi"/>
                <w:color w:val="000000" w:themeColor="text1"/>
                <w:sz w:val="20"/>
                <w:szCs w:val="20"/>
              </w:rPr>
              <w:t xml:space="preserve">Ciertos medicamentos pueden inhibir la producción de hormona tiroidea (Almandoz y </w:t>
            </w:r>
            <w:proofErr w:type="spellStart"/>
            <w:r w:rsidRPr="00143EDA">
              <w:rPr>
                <w:rFonts w:asciiTheme="minorHAnsi" w:eastAsia="Times New Roman" w:hAnsiTheme="minorHAnsi" w:cstheme="minorHAnsi"/>
                <w:color w:val="000000" w:themeColor="text1"/>
                <w:sz w:val="20"/>
                <w:szCs w:val="20"/>
              </w:rPr>
              <w:t>Gharib</w:t>
            </w:r>
            <w:proofErr w:type="spellEnd"/>
            <w:r w:rsidRPr="00143EDA">
              <w:rPr>
                <w:rFonts w:asciiTheme="minorHAnsi" w:eastAsia="Times New Roman" w:hAnsiTheme="minorHAnsi" w:cstheme="minorHAnsi"/>
                <w:color w:val="000000" w:themeColor="text1"/>
                <w:sz w:val="20"/>
                <w:szCs w:val="20"/>
              </w:rPr>
              <w:t>, 2012).</w:t>
            </w:r>
          </w:p>
        </w:tc>
      </w:tr>
      <w:tr w:rsidR="002C2DFC" w:rsidRPr="00143EDA" w14:paraId="40DC825B" w14:textId="77777777" w:rsidTr="002C2DFC">
        <w:trPr>
          <w:trHeight w:val="603"/>
        </w:trPr>
        <w:tc>
          <w:tcPr>
            <w:tcW w:w="2223" w:type="dxa"/>
            <w:tcBorders>
              <w:top w:val="nil"/>
              <w:left w:val="single" w:sz="4" w:space="0" w:color="auto"/>
              <w:bottom w:val="single" w:sz="4" w:space="0" w:color="auto"/>
              <w:right w:val="single" w:sz="4" w:space="0" w:color="auto"/>
            </w:tcBorders>
            <w:shd w:val="clear" w:color="000000" w:fill="FFFFFF"/>
            <w:vAlign w:val="center"/>
            <w:hideMark/>
          </w:tcPr>
          <w:p w14:paraId="591D00CA" w14:textId="77777777" w:rsidR="002C2DFC" w:rsidRPr="00143EDA" w:rsidRDefault="002C2DFC" w:rsidP="00143EDA">
            <w:pPr>
              <w:spacing w:line="276" w:lineRule="auto"/>
              <w:jc w:val="both"/>
              <w:rPr>
                <w:rFonts w:asciiTheme="minorHAnsi" w:eastAsia="Times New Roman" w:hAnsiTheme="minorHAnsi" w:cstheme="minorHAnsi"/>
                <w:b/>
                <w:bCs/>
                <w:color w:val="000000" w:themeColor="text1"/>
                <w:sz w:val="20"/>
                <w:szCs w:val="20"/>
              </w:rPr>
            </w:pPr>
            <w:r w:rsidRPr="00143EDA">
              <w:rPr>
                <w:rFonts w:asciiTheme="minorHAnsi" w:eastAsia="Times New Roman" w:hAnsiTheme="minorHAnsi" w:cstheme="minorHAnsi"/>
                <w:b/>
                <w:bCs/>
                <w:color w:val="000000" w:themeColor="text1"/>
                <w:sz w:val="20"/>
                <w:szCs w:val="20"/>
              </w:rPr>
              <w:t>Causas centrales</w:t>
            </w:r>
          </w:p>
        </w:tc>
        <w:tc>
          <w:tcPr>
            <w:tcW w:w="7076" w:type="dxa"/>
            <w:tcBorders>
              <w:top w:val="nil"/>
              <w:left w:val="nil"/>
              <w:bottom w:val="single" w:sz="4" w:space="0" w:color="auto"/>
              <w:right w:val="single" w:sz="4" w:space="0" w:color="auto"/>
            </w:tcBorders>
            <w:shd w:val="clear" w:color="000000" w:fill="FFFFFF"/>
            <w:vAlign w:val="center"/>
            <w:hideMark/>
          </w:tcPr>
          <w:p w14:paraId="48B41D80"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0"/>
                <w:szCs w:val="20"/>
              </w:rPr>
            </w:pPr>
            <w:r w:rsidRPr="00143EDA">
              <w:rPr>
                <w:rFonts w:asciiTheme="minorHAnsi" w:eastAsia="Times New Roman" w:hAnsiTheme="minorHAnsi" w:cstheme="minorHAnsi"/>
                <w:color w:val="000000" w:themeColor="text1"/>
                <w:sz w:val="20"/>
                <w:szCs w:val="20"/>
              </w:rPr>
              <w:t xml:space="preserve">Deficiencias de TSH o TRH de la hipófisis o el hipotálamo (Almandoz y </w:t>
            </w:r>
            <w:proofErr w:type="spellStart"/>
            <w:r w:rsidRPr="00143EDA">
              <w:rPr>
                <w:rFonts w:asciiTheme="minorHAnsi" w:eastAsia="Times New Roman" w:hAnsiTheme="minorHAnsi" w:cstheme="minorHAnsi"/>
                <w:color w:val="000000" w:themeColor="text1"/>
                <w:sz w:val="20"/>
                <w:szCs w:val="20"/>
              </w:rPr>
              <w:t>Gharib</w:t>
            </w:r>
            <w:proofErr w:type="spellEnd"/>
            <w:r w:rsidRPr="00143EDA">
              <w:rPr>
                <w:rFonts w:asciiTheme="minorHAnsi" w:eastAsia="Times New Roman" w:hAnsiTheme="minorHAnsi" w:cstheme="minorHAnsi"/>
                <w:color w:val="000000" w:themeColor="text1"/>
                <w:sz w:val="20"/>
                <w:szCs w:val="20"/>
              </w:rPr>
              <w:t>, 2012).</w:t>
            </w:r>
          </w:p>
        </w:tc>
      </w:tr>
      <w:bookmarkEnd w:id="2"/>
    </w:tbl>
    <w:p w14:paraId="6681A224" w14:textId="67627C34" w:rsidR="002C2DFC" w:rsidRPr="00143EDA"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b/>
          <w:bCs/>
          <w:color w:val="000000" w:themeColor="text1"/>
          <w:sz w:val="24"/>
          <w:szCs w:val="24"/>
          <w:highlight w:val="yellow"/>
        </w:rPr>
        <w:fldChar w:fldCharType="end"/>
      </w:r>
      <w:r w:rsidRPr="00143EDA">
        <w:rPr>
          <w:rFonts w:asciiTheme="minorHAnsi" w:hAnsiTheme="minorHAnsi" w:cstheme="minorHAnsi"/>
          <w:b/>
          <w:bCs/>
          <w:color w:val="000000" w:themeColor="text1"/>
          <w:sz w:val="24"/>
          <w:szCs w:val="24"/>
        </w:rPr>
        <w:t xml:space="preserve"> Fuente:</w:t>
      </w:r>
      <w:r w:rsidRPr="00143EDA">
        <w:rPr>
          <w:rFonts w:asciiTheme="minorHAnsi" w:hAnsiTheme="minorHAnsi" w:cstheme="minorHAnsi"/>
          <w:color w:val="000000" w:themeColor="text1"/>
          <w:sz w:val="24"/>
          <w:szCs w:val="24"/>
        </w:rPr>
        <w:t xml:space="preserve"> varios autores </w:t>
      </w:r>
    </w:p>
    <w:p w14:paraId="27FEA876" w14:textId="7F1CFE32" w:rsidR="002C2DFC" w:rsidRDefault="002C2DFC" w:rsidP="00143EDA">
      <w:pPr>
        <w:spacing w:line="276" w:lineRule="auto"/>
        <w:jc w:val="both"/>
        <w:rPr>
          <w:rFonts w:asciiTheme="minorHAnsi" w:hAnsiTheme="minorHAnsi" w:cstheme="minorHAnsi"/>
          <w:sz w:val="24"/>
          <w:szCs w:val="24"/>
        </w:rPr>
      </w:pPr>
    </w:p>
    <w:p w14:paraId="6570CAD9" w14:textId="6160DF37" w:rsidR="002C2DFC"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Los trastornos de la tiroides, especialmente el hipotiroidismo, durante mucho tiempo se ha asociado con la infertilidad, los resultados adversos durante el embarazo y aborto recurrente. El hipotiroidismo manifiesto se diagnostica y trata fácilmente. Sin embargo, hay datos contradictorios sobre la asociación entre hipotiroidismo subclínico y la pérdida del embarazo. Hoy en día, el umbral más utilizado de la hormona estimulante de la tiroides (TSH) en suero Para definir el hipotiroidismo subclínico es .2.5 </w:t>
      </w:r>
      <w:proofErr w:type="spellStart"/>
      <w:r w:rsidRPr="00143EDA">
        <w:rPr>
          <w:rFonts w:asciiTheme="minorHAnsi" w:hAnsiTheme="minorHAnsi" w:cstheme="minorHAnsi"/>
          <w:color w:val="000000" w:themeColor="text1"/>
          <w:sz w:val="24"/>
          <w:szCs w:val="24"/>
        </w:rPr>
        <w:t>mIU</w:t>
      </w:r>
      <w:proofErr w:type="spellEnd"/>
      <w:r w:rsidRPr="00143EDA">
        <w:rPr>
          <w:rFonts w:asciiTheme="minorHAnsi" w:hAnsiTheme="minorHAnsi" w:cstheme="minorHAnsi"/>
          <w:color w:val="000000" w:themeColor="text1"/>
          <w:sz w:val="24"/>
          <w:szCs w:val="24"/>
        </w:rPr>
        <w:t xml:space="preserve"> / L. Dos estudios de cohorte recientes encontraron una alta prevalencia de hipotiroidismo subclínico (definido como TSH de .2.5 </w:t>
      </w:r>
      <w:proofErr w:type="spellStart"/>
      <w:r w:rsidRPr="00143EDA">
        <w:rPr>
          <w:rFonts w:asciiTheme="minorHAnsi" w:hAnsiTheme="minorHAnsi" w:cstheme="minorHAnsi"/>
          <w:color w:val="000000" w:themeColor="text1"/>
          <w:sz w:val="24"/>
          <w:szCs w:val="24"/>
        </w:rPr>
        <w:t>mIU</w:t>
      </w:r>
      <w:proofErr w:type="spellEnd"/>
      <w:r w:rsidRPr="00143EDA">
        <w:rPr>
          <w:rFonts w:asciiTheme="minorHAnsi" w:hAnsiTheme="minorHAnsi" w:cstheme="minorHAnsi"/>
          <w:color w:val="000000" w:themeColor="text1"/>
          <w:sz w:val="24"/>
          <w:szCs w:val="24"/>
        </w:rPr>
        <w:t xml:space="preserve"> / L) en mujeres con abortos recurrentes (19% y 21%). Sin embargo, la tasa de nacidos vivos en estos pacientes fue comparables con las mujeres eutiroideas </w:t>
      </w:r>
      <w:sdt>
        <w:sdtPr>
          <w:rPr>
            <w:rFonts w:asciiTheme="minorHAnsi" w:hAnsiTheme="minorHAnsi" w:cstheme="minorHAnsi"/>
            <w:color w:val="000000" w:themeColor="text1"/>
            <w:sz w:val="24"/>
            <w:szCs w:val="24"/>
          </w:rPr>
          <w:id w:val="1932624432"/>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CITATION Sil19 \l 12298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(12)</w:t>
          </w:r>
          <w:r w:rsidRPr="00143EDA">
            <w:rPr>
              <w:rFonts w:asciiTheme="minorHAnsi" w:hAnsiTheme="minorHAnsi" w:cstheme="minorHAnsi"/>
              <w:color w:val="000000" w:themeColor="text1"/>
              <w:sz w:val="24"/>
              <w:szCs w:val="24"/>
            </w:rPr>
            <w:fldChar w:fldCharType="end"/>
          </w:r>
        </w:sdtContent>
      </w:sdt>
    </w:p>
    <w:p w14:paraId="5C6030D9" w14:textId="77777777" w:rsidR="00143EDA" w:rsidRPr="00143EDA" w:rsidRDefault="00143EDA" w:rsidP="00143EDA">
      <w:pPr>
        <w:spacing w:line="276" w:lineRule="auto"/>
        <w:jc w:val="both"/>
        <w:rPr>
          <w:rFonts w:asciiTheme="minorHAnsi" w:hAnsiTheme="minorHAnsi" w:cstheme="minorHAnsi"/>
          <w:color w:val="000000" w:themeColor="text1"/>
          <w:sz w:val="24"/>
          <w:szCs w:val="24"/>
        </w:rPr>
      </w:pPr>
    </w:p>
    <w:p w14:paraId="3322D9EC" w14:textId="77777777" w:rsidR="002C2DFC"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Uno de los fármacos como el litio puede generar hipotiroidismo, ya que, en altas concentraciones dentro de los rangos terapéuticos normales del mismo, puede aumentar la glándula tiroidea hasta en aproximadamente un 50% de los pacientes que lo ingieren. Algunos de estos pacientes con hipotiroidismos tienen anticuerpos </w:t>
      </w:r>
      <w:proofErr w:type="spellStart"/>
      <w:r w:rsidRPr="00143EDA">
        <w:rPr>
          <w:rFonts w:asciiTheme="minorHAnsi" w:hAnsiTheme="minorHAnsi" w:cstheme="minorHAnsi"/>
          <w:color w:val="000000" w:themeColor="text1"/>
          <w:sz w:val="24"/>
          <w:szCs w:val="24"/>
        </w:rPr>
        <w:t>anti-tiroideos</w:t>
      </w:r>
      <w:proofErr w:type="spellEnd"/>
      <w:r w:rsidRPr="00143EDA">
        <w:rPr>
          <w:rFonts w:asciiTheme="minorHAnsi" w:hAnsiTheme="minorHAnsi" w:cstheme="minorHAnsi"/>
          <w:color w:val="000000" w:themeColor="text1"/>
          <w:sz w:val="24"/>
          <w:szCs w:val="24"/>
        </w:rPr>
        <w:t xml:space="preserve">. </w:t>
      </w:r>
      <w:sdt>
        <w:sdtPr>
          <w:rPr>
            <w:rFonts w:asciiTheme="minorHAnsi" w:hAnsiTheme="minorHAnsi" w:cstheme="minorHAnsi"/>
            <w:color w:val="000000" w:themeColor="text1"/>
            <w:sz w:val="24"/>
            <w:szCs w:val="24"/>
          </w:rPr>
          <w:id w:val="-1720423918"/>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 CITATION Vil21 \l 12298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(13)</w:t>
          </w:r>
          <w:r w:rsidRPr="00143EDA">
            <w:rPr>
              <w:rFonts w:asciiTheme="minorHAnsi" w:hAnsiTheme="minorHAnsi" w:cstheme="minorHAnsi"/>
              <w:color w:val="000000" w:themeColor="text1"/>
              <w:sz w:val="24"/>
              <w:szCs w:val="24"/>
            </w:rPr>
            <w:fldChar w:fldCharType="end"/>
          </w:r>
        </w:sdtContent>
      </w:sdt>
      <w:sdt>
        <w:sdtPr>
          <w:rPr>
            <w:rFonts w:asciiTheme="minorHAnsi" w:hAnsiTheme="minorHAnsi" w:cstheme="minorHAnsi"/>
            <w:color w:val="000000" w:themeColor="text1"/>
            <w:sz w:val="24"/>
            <w:szCs w:val="24"/>
          </w:rPr>
          <w:id w:val="14046698"/>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 CITATION Ger19 \l 3082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 xml:space="preserve"> (14)</w:t>
          </w:r>
          <w:r w:rsidRPr="00143EDA">
            <w:rPr>
              <w:rFonts w:asciiTheme="minorHAnsi" w:hAnsiTheme="minorHAnsi" w:cstheme="minorHAnsi"/>
              <w:color w:val="000000" w:themeColor="text1"/>
              <w:sz w:val="24"/>
              <w:szCs w:val="24"/>
            </w:rPr>
            <w:fldChar w:fldCharType="end"/>
          </w:r>
        </w:sdtContent>
      </w:sdt>
      <w:r w:rsidRPr="00143EDA">
        <w:rPr>
          <w:rFonts w:asciiTheme="minorHAnsi" w:hAnsiTheme="minorHAnsi" w:cstheme="minorHAnsi"/>
          <w:color w:val="000000" w:themeColor="text1"/>
          <w:sz w:val="24"/>
          <w:szCs w:val="24"/>
        </w:rPr>
        <w:t>.</w:t>
      </w:r>
    </w:p>
    <w:p w14:paraId="4E987FCD"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7E81EAF2"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1FE5DDD1"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28EE0F63"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253F69DD"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30BB6AA3"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378BC440"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4C23FAEB"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7E8BA1A3"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13AD1BDD"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2E0FBA9B" w14:textId="77777777" w:rsidR="00E709A0" w:rsidRPr="00143EDA" w:rsidRDefault="00E709A0" w:rsidP="00143EDA">
      <w:pPr>
        <w:spacing w:line="276" w:lineRule="auto"/>
        <w:jc w:val="both"/>
        <w:rPr>
          <w:rFonts w:asciiTheme="minorHAnsi" w:hAnsiTheme="minorHAnsi" w:cstheme="minorHAnsi"/>
          <w:color w:val="000000" w:themeColor="text1"/>
          <w:sz w:val="24"/>
          <w:szCs w:val="24"/>
        </w:rPr>
      </w:pPr>
    </w:p>
    <w:p w14:paraId="34882143" w14:textId="44DF0A6D" w:rsidR="002C2DFC" w:rsidRPr="00143EDA" w:rsidRDefault="002C2DFC" w:rsidP="00143EDA">
      <w:pPr>
        <w:spacing w:line="276" w:lineRule="auto"/>
        <w:jc w:val="both"/>
        <w:rPr>
          <w:rFonts w:asciiTheme="minorHAnsi" w:hAnsiTheme="minorHAnsi" w:cstheme="minorHAnsi"/>
          <w:sz w:val="24"/>
          <w:szCs w:val="24"/>
        </w:rPr>
      </w:pPr>
    </w:p>
    <w:p w14:paraId="7FF5A78B" w14:textId="77777777" w:rsidR="002C2DFC" w:rsidRPr="00143EDA" w:rsidRDefault="002C2DFC" w:rsidP="00143EDA">
      <w:pPr>
        <w:spacing w:line="276" w:lineRule="auto"/>
        <w:jc w:val="both"/>
        <w:rPr>
          <w:rFonts w:asciiTheme="minorHAnsi" w:hAnsiTheme="minorHAnsi" w:cstheme="minorHAnsi"/>
          <w:b/>
          <w:bCs/>
          <w:color w:val="000000" w:themeColor="text1"/>
          <w:sz w:val="24"/>
          <w:szCs w:val="24"/>
        </w:rPr>
      </w:pPr>
      <w:r w:rsidRPr="00143EDA">
        <w:rPr>
          <w:rFonts w:asciiTheme="minorHAnsi" w:hAnsiTheme="minorHAnsi" w:cstheme="minorHAnsi"/>
          <w:b/>
          <w:bCs/>
          <w:color w:val="000000" w:themeColor="text1"/>
          <w:sz w:val="24"/>
          <w:szCs w:val="24"/>
        </w:rPr>
        <w:lastRenderedPageBreak/>
        <w:t>Tabla # 2: Tipos de hipotiroidismo</w:t>
      </w:r>
      <w:r w:rsidRPr="00143EDA">
        <w:rPr>
          <w:rFonts w:asciiTheme="minorHAnsi" w:hAnsiTheme="minorHAnsi" w:cstheme="minorHAnsi"/>
          <w:b/>
          <w:bCs/>
          <w:color w:val="000000" w:themeColor="text1"/>
          <w:sz w:val="24"/>
          <w:szCs w:val="24"/>
        </w:rPr>
        <w:fldChar w:fldCharType="begin"/>
      </w:r>
      <w:r w:rsidRPr="00143EDA">
        <w:rPr>
          <w:rFonts w:asciiTheme="minorHAnsi" w:hAnsiTheme="minorHAnsi" w:cstheme="minorHAnsi"/>
          <w:b/>
          <w:bCs/>
          <w:color w:val="000000" w:themeColor="text1"/>
          <w:sz w:val="24"/>
          <w:szCs w:val="24"/>
        </w:rPr>
        <w:instrText xml:space="preserve"> LINK Excel.Sheet.12 "Libro1" "Hoja1!F4C4:F8C7" \a \f 4 \h  \* MERGEFORMAT </w:instrText>
      </w:r>
      <w:r w:rsidRPr="00143EDA">
        <w:rPr>
          <w:rFonts w:asciiTheme="minorHAnsi" w:hAnsiTheme="minorHAnsi" w:cstheme="minorHAnsi"/>
          <w:b/>
          <w:bCs/>
          <w:color w:val="000000" w:themeColor="text1"/>
          <w:sz w:val="24"/>
          <w:szCs w:val="24"/>
        </w:rPr>
        <w:fldChar w:fldCharType="separate"/>
      </w:r>
    </w:p>
    <w:tbl>
      <w:tblPr>
        <w:tblW w:w="9403" w:type="dxa"/>
        <w:tblCellMar>
          <w:left w:w="70" w:type="dxa"/>
          <w:right w:w="70" w:type="dxa"/>
        </w:tblCellMar>
        <w:tblLook w:val="04A0" w:firstRow="1" w:lastRow="0" w:firstColumn="1" w:lastColumn="0" w:noHBand="0" w:noVBand="1"/>
      </w:tblPr>
      <w:tblGrid>
        <w:gridCol w:w="1592"/>
        <w:gridCol w:w="2760"/>
        <w:gridCol w:w="2620"/>
        <w:gridCol w:w="2780"/>
      </w:tblGrid>
      <w:tr w:rsidR="002C2DFC" w:rsidRPr="00143EDA" w14:paraId="31067262" w14:textId="77777777" w:rsidTr="00003039">
        <w:trPr>
          <w:trHeight w:val="804"/>
        </w:trPr>
        <w:tc>
          <w:tcPr>
            <w:tcW w:w="12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296EEB"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bookmarkStart w:id="3" w:name="_Hlk178595049"/>
            <w:r w:rsidRPr="00143EDA">
              <w:rPr>
                <w:rFonts w:asciiTheme="minorHAnsi" w:eastAsia="Times New Roman" w:hAnsiTheme="minorHAnsi" w:cstheme="minorHAnsi"/>
                <w:color w:val="000000" w:themeColor="text1"/>
                <w:sz w:val="24"/>
                <w:szCs w:val="24"/>
              </w:rPr>
              <w:t>Tipo de Hipotiroidismo</w:t>
            </w:r>
          </w:p>
        </w:tc>
        <w:tc>
          <w:tcPr>
            <w:tcW w:w="2760" w:type="dxa"/>
            <w:tcBorders>
              <w:top w:val="single" w:sz="4" w:space="0" w:color="auto"/>
              <w:left w:val="nil"/>
              <w:bottom w:val="single" w:sz="4" w:space="0" w:color="auto"/>
              <w:right w:val="single" w:sz="4" w:space="0" w:color="auto"/>
            </w:tcBorders>
            <w:shd w:val="clear" w:color="auto" w:fill="auto"/>
            <w:noWrap/>
            <w:vAlign w:val="bottom"/>
            <w:hideMark/>
          </w:tcPr>
          <w:p w14:paraId="6690E4BE"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Definición</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5FA42FC7"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Efectos en Mujeres en Edad Fértil</w:t>
            </w:r>
          </w:p>
        </w:tc>
        <w:tc>
          <w:tcPr>
            <w:tcW w:w="2780" w:type="dxa"/>
            <w:tcBorders>
              <w:top w:val="single" w:sz="4" w:space="0" w:color="auto"/>
              <w:left w:val="nil"/>
              <w:bottom w:val="single" w:sz="4" w:space="0" w:color="auto"/>
              <w:right w:val="single" w:sz="4" w:space="0" w:color="auto"/>
            </w:tcBorders>
            <w:shd w:val="clear" w:color="auto" w:fill="auto"/>
            <w:noWrap/>
            <w:vAlign w:val="bottom"/>
            <w:hideMark/>
          </w:tcPr>
          <w:p w14:paraId="38C9CE91"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Complicaciones</w:t>
            </w:r>
          </w:p>
        </w:tc>
      </w:tr>
      <w:tr w:rsidR="002C2DFC" w:rsidRPr="00143EDA" w14:paraId="122EF263" w14:textId="77777777" w:rsidTr="00003039">
        <w:trPr>
          <w:trHeight w:val="1068"/>
        </w:trPr>
        <w:tc>
          <w:tcPr>
            <w:tcW w:w="1243" w:type="dxa"/>
            <w:tcBorders>
              <w:top w:val="nil"/>
              <w:left w:val="single" w:sz="8" w:space="0" w:color="000000"/>
              <w:bottom w:val="single" w:sz="8" w:space="0" w:color="000000"/>
              <w:right w:val="single" w:sz="8" w:space="0" w:color="000000"/>
            </w:tcBorders>
            <w:shd w:val="clear" w:color="auto" w:fill="auto"/>
            <w:vAlign w:val="center"/>
            <w:hideMark/>
          </w:tcPr>
          <w:p w14:paraId="5F5EEE0B"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Hipotiroidismo Primario</w:t>
            </w:r>
          </w:p>
        </w:tc>
        <w:tc>
          <w:tcPr>
            <w:tcW w:w="2760" w:type="dxa"/>
            <w:tcBorders>
              <w:top w:val="nil"/>
              <w:left w:val="nil"/>
              <w:bottom w:val="single" w:sz="8" w:space="0" w:color="000000"/>
              <w:right w:val="single" w:sz="8" w:space="0" w:color="000000"/>
            </w:tcBorders>
            <w:shd w:val="clear" w:color="auto" w:fill="auto"/>
            <w:vAlign w:val="center"/>
            <w:hideMark/>
          </w:tcPr>
          <w:p w14:paraId="57DF1108"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Afección donde la glándula tiroides no produce suficientes hormonas.</w:t>
            </w:r>
          </w:p>
        </w:tc>
        <w:tc>
          <w:tcPr>
            <w:tcW w:w="2620" w:type="dxa"/>
            <w:tcBorders>
              <w:top w:val="nil"/>
              <w:left w:val="nil"/>
              <w:bottom w:val="single" w:sz="8" w:space="0" w:color="000000"/>
              <w:right w:val="single" w:sz="8" w:space="0" w:color="000000"/>
            </w:tcBorders>
            <w:shd w:val="clear" w:color="auto" w:fill="auto"/>
            <w:vAlign w:val="center"/>
            <w:hideMark/>
          </w:tcPr>
          <w:p w14:paraId="239D5579"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Puede causar irregularidades menstruales y disminución de la ovulación.</w:t>
            </w:r>
          </w:p>
        </w:tc>
        <w:tc>
          <w:tcPr>
            <w:tcW w:w="2780" w:type="dxa"/>
            <w:tcBorders>
              <w:top w:val="nil"/>
              <w:left w:val="nil"/>
              <w:bottom w:val="single" w:sz="8" w:space="0" w:color="000000"/>
              <w:right w:val="single" w:sz="8" w:space="0" w:color="000000"/>
            </w:tcBorders>
            <w:shd w:val="clear" w:color="auto" w:fill="auto"/>
            <w:vAlign w:val="center"/>
            <w:hideMark/>
          </w:tcPr>
          <w:p w14:paraId="65E4B635"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Mayor riesgo de infertilidad, aborto espontáneo y complicaciones durante el embarazo.</w:t>
            </w:r>
          </w:p>
        </w:tc>
      </w:tr>
      <w:tr w:rsidR="002C2DFC" w:rsidRPr="00143EDA" w14:paraId="3DCFC89F" w14:textId="77777777" w:rsidTr="00003039">
        <w:trPr>
          <w:trHeight w:val="804"/>
        </w:trPr>
        <w:tc>
          <w:tcPr>
            <w:tcW w:w="1243" w:type="dxa"/>
            <w:tcBorders>
              <w:top w:val="nil"/>
              <w:left w:val="single" w:sz="8" w:space="0" w:color="000000"/>
              <w:bottom w:val="single" w:sz="8" w:space="0" w:color="000000"/>
              <w:right w:val="single" w:sz="8" w:space="0" w:color="000000"/>
            </w:tcBorders>
            <w:shd w:val="clear" w:color="auto" w:fill="auto"/>
            <w:vAlign w:val="center"/>
            <w:hideMark/>
          </w:tcPr>
          <w:p w14:paraId="2E157F5B"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Hipotiroidismo Secundario</w:t>
            </w:r>
          </w:p>
        </w:tc>
        <w:tc>
          <w:tcPr>
            <w:tcW w:w="2760" w:type="dxa"/>
            <w:tcBorders>
              <w:top w:val="nil"/>
              <w:left w:val="nil"/>
              <w:bottom w:val="single" w:sz="8" w:space="0" w:color="000000"/>
              <w:right w:val="single" w:sz="8" w:space="0" w:color="000000"/>
            </w:tcBorders>
            <w:shd w:val="clear" w:color="auto" w:fill="auto"/>
            <w:vAlign w:val="center"/>
            <w:hideMark/>
          </w:tcPr>
          <w:p w14:paraId="09C3932A"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Causado por una alteración en la hipófisis, que no produce suficiente TSH.</w:t>
            </w:r>
          </w:p>
        </w:tc>
        <w:tc>
          <w:tcPr>
            <w:tcW w:w="2620" w:type="dxa"/>
            <w:tcBorders>
              <w:top w:val="nil"/>
              <w:left w:val="nil"/>
              <w:bottom w:val="single" w:sz="8" w:space="0" w:color="000000"/>
              <w:right w:val="single" w:sz="8" w:space="0" w:color="000000"/>
            </w:tcBorders>
            <w:shd w:val="clear" w:color="auto" w:fill="auto"/>
            <w:vAlign w:val="center"/>
            <w:hideMark/>
          </w:tcPr>
          <w:p w14:paraId="2EF16237"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Puede afectar la función ovárica y el ciclo menstrual.</w:t>
            </w:r>
          </w:p>
        </w:tc>
        <w:tc>
          <w:tcPr>
            <w:tcW w:w="2780" w:type="dxa"/>
            <w:tcBorders>
              <w:top w:val="nil"/>
              <w:left w:val="nil"/>
              <w:bottom w:val="single" w:sz="8" w:space="0" w:color="000000"/>
              <w:right w:val="single" w:sz="8" w:space="0" w:color="000000"/>
            </w:tcBorders>
            <w:shd w:val="clear" w:color="auto" w:fill="auto"/>
            <w:vAlign w:val="center"/>
            <w:hideMark/>
          </w:tcPr>
          <w:p w14:paraId="7D51950B"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Infertilidad y complicaciones similares a las del hipotiroidismo primario.</w:t>
            </w:r>
          </w:p>
        </w:tc>
      </w:tr>
      <w:tr w:rsidR="002C2DFC" w:rsidRPr="00143EDA" w14:paraId="7183792D" w14:textId="77777777" w:rsidTr="00003039">
        <w:trPr>
          <w:trHeight w:val="1068"/>
        </w:trPr>
        <w:tc>
          <w:tcPr>
            <w:tcW w:w="1243" w:type="dxa"/>
            <w:tcBorders>
              <w:top w:val="nil"/>
              <w:left w:val="single" w:sz="8" w:space="0" w:color="000000"/>
              <w:bottom w:val="single" w:sz="8" w:space="0" w:color="000000"/>
              <w:right w:val="single" w:sz="8" w:space="0" w:color="000000"/>
            </w:tcBorders>
            <w:shd w:val="clear" w:color="auto" w:fill="auto"/>
            <w:vAlign w:val="center"/>
            <w:hideMark/>
          </w:tcPr>
          <w:p w14:paraId="67505EE4"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Hipotiroidismo Subclínico</w:t>
            </w:r>
          </w:p>
        </w:tc>
        <w:tc>
          <w:tcPr>
            <w:tcW w:w="2760" w:type="dxa"/>
            <w:tcBorders>
              <w:top w:val="nil"/>
              <w:left w:val="nil"/>
              <w:bottom w:val="single" w:sz="8" w:space="0" w:color="000000"/>
              <w:right w:val="single" w:sz="8" w:space="0" w:color="000000"/>
            </w:tcBorders>
            <w:shd w:val="clear" w:color="auto" w:fill="auto"/>
            <w:vAlign w:val="center"/>
            <w:hideMark/>
          </w:tcPr>
          <w:p w14:paraId="11553695"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Niveles elevados de TSH con T4 y T3 normales; puede ser asintomático.</w:t>
            </w:r>
          </w:p>
        </w:tc>
        <w:tc>
          <w:tcPr>
            <w:tcW w:w="2620" w:type="dxa"/>
            <w:tcBorders>
              <w:top w:val="nil"/>
              <w:left w:val="nil"/>
              <w:bottom w:val="single" w:sz="8" w:space="0" w:color="000000"/>
              <w:right w:val="single" w:sz="8" w:space="0" w:color="000000"/>
            </w:tcBorders>
            <w:shd w:val="clear" w:color="auto" w:fill="auto"/>
            <w:vAlign w:val="center"/>
            <w:hideMark/>
          </w:tcPr>
          <w:p w14:paraId="0D1BBF3C"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Puede pasar desapercibido, pero puede afectar la fertilidad y el ciclo menstrual.</w:t>
            </w:r>
          </w:p>
        </w:tc>
        <w:tc>
          <w:tcPr>
            <w:tcW w:w="2780" w:type="dxa"/>
            <w:tcBorders>
              <w:top w:val="nil"/>
              <w:left w:val="nil"/>
              <w:bottom w:val="single" w:sz="8" w:space="0" w:color="000000"/>
              <w:right w:val="single" w:sz="8" w:space="0" w:color="000000"/>
            </w:tcBorders>
            <w:shd w:val="clear" w:color="auto" w:fill="auto"/>
            <w:vAlign w:val="center"/>
            <w:hideMark/>
          </w:tcPr>
          <w:p w14:paraId="7C8410BF"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Riesgo de progresión a hipotiroidismo clínico, que puede afectar la salud reproductiva.</w:t>
            </w:r>
          </w:p>
        </w:tc>
      </w:tr>
      <w:tr w:rsidR="002C2DFC" w:rsidRPr="00143EDA" w14:paraId="66ADC364" w14:textId="77777777" w:rsidTr="00003039">
        <w:trPr>
          <w:trHeight w:val="804"/>
        </w:trPr>
        <w:tc>
          <w:tcPr>
            <w:tcW w:w="1243" w:type="dxa"/>
            <w:tcBorders>
              <w:top w:val="nil"/>
              <w:left w:val="single" w:sz="8" w:space="0" w:color="000000"/>
              <w:bottom w:val="single" w:sz="8" w:space="0" w:color="000000"/>
              <w:right w:val="single" w:sz="8" w:space="0" w:color="000000"/>
            </w:tcBorders>
            <w:shd w:val="clear" w:color="auto" w:fill="auto"/>
            <w:vAlign w:val="center"/>
            <w:hideMark/>
          </w:tcPr>
          <w:p w14:paraId="5BCCB50C"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Hipotiroidismo Congénito</w:t>
            </w:r>
          </w:p>
        </w:tc>
        <w:tc>
          <w:tcPr>
            <w:tcW w:w="2760" w:type="dxa"/>
            <w:tcBorders>
              <w:top w:val="nil"/>
              <w:left w:val="nil"/>
              <w:bottom w:val="single" w:sz="8" w:space="0" w:color="000000"/>
              <w:right w:val="single" w:sz="8" w:space="0" w:color="000000"/>
            </w:tcBorders>
            <w:shd w:val="clear" w:color="auto" w:fill="auto"/>
            <w:vAlign w:val="center"/>
            <w:hideMark/>
          </w:tcPr>
          <w:p w14:paraId="574A7762"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Presente al nacer; puede ser causado por disgenesia tiroidea o deficiencia de yodo.</w:t>
            </w:r>
          </w:p>
        </w:tc>
        <w:tc>
          <w:tcPr>
            <w:tcW w:w="2620" w:type="dxa"/>
            <w:tcBorders>
              <w:top w:val="nil"/>
              <w:left w:val="nil"/>
              <w:bottom w:val="single" w:sz="8" w:space="0" w:color="000000"/>
              <w:right w:val="single" w:sz="8" w:space="0" w:color="000000"/>
            </w:tcBorders>
            <w:shd w:val="clear" w:color="auto" w:fill="auto"/>
            <w:vAlign w:val="center"/>
            <w:hideMark/>
          </w:tcPr>
          <w:p w14:paraId="5ED2C543"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Si no se trata, puede llevar a problemas de desarrollo y fertilidad en la adultez.</w:t>
            </w:r>
          </w:p>
        </w:tc>
        <w:tc>
          <w:tcPr>
            <w:tcW w:w="2780" w:type="dxa"/>
            <w:tcBorders>
              <w:top w:val="nil"/>
              <w:left w:val="nil"/>
              <w:bottom w:val="single" w:sz="8" w:space="0" w:color="000000"/>
              <w:right w:val="single" w:sz="8" w:space="0" w:color="000000"/>
            </w:tcBorders>
            <w:shd w:val="clear" w:color="auto" w:fill="auto"/>
            <w:vAlign w:val="center"/>
            <w:hideMark/>
          </w:tcPr>
          <w:p w14:paraId="56E6934D" w14:textId="77777777" w:rsidR="002C2DFC" w:rsidRPr="00143EDA" w:rsidRDefault="002C2DFC" w:rsidP="00143EDA">
            <w:pPr>
              <w:spacing w:line="276" w:lineRule="auto"/>
              <w:jc w:val="both"/>
              <w:rPr>
                <w:rFonts w:asciiTheme="minorHAnsi" w:eastAsia="Times New Roman" w:hAnsiTheme="minorHAnsi" w:cstheme="minorHAnsi"/>
                <w:color w:val="000000" w:themeColor="text1"/>
                <w:sz w:val="24"/>
                <w:szCs w:val="24"/>
              </w:rPr>
            </w:pPr>
            <w:r w:rsidRPr="00143EDA">
              <w:rPr>
                <w:rFonts w:asciiTheme="minorHAnsi" w:eastAsia="Times New Roman" w:hAnsiTheme="minorHAnsi" w:cstheme="minorHAnsi"/>
                <w:color w:val="000000" w:themeColor="text1"/>
                <w:sz w:val="24"/>
                <w:szCs w:val="24"/>
              </w:rPr>
              <w:t>Retraso en el crecimiento, problemas cognitivos y potencialmente infertilidad.</w:t>
            </w:r>
          </w:p>
        </w:tc>
      </w:tr>
      <w:bookmarkEnd w:id="3"/>
    </w:tbl>
    <w:p w14:paraId="332DCC0A" w14:textId="77777777" w:rsidR="002C2DFC" w:rsidRPr="00143EDA" w:rsidRDefault="002C2DFC" w:rsidP="00143EDA">
      <w:pPr>
        <w:spacing w:line="276" w:lineRule="auto"/>
        <w:jc w:val="both"/>
        <w:rPr>
          <w:rFonts w:asciiTheme="minorHAnsi" w:hAnsiTheme="minorHAnsi" w:cstheme="minorHAnsi"/>
          <w:b/>
          <w:bCs/>
          <w:color w:val="000000" w:themeColor="text1"/>
          <w:sz w:val="24"/>
          <w:szCs w:val="24"/>
        </w:rPr>
      </w:pPr>
      <w:r w:rsidRPr="00143EDA">
        <w:rPr>
          <w:rFonts w:asciiTheme="minorHAnsi" w:hAnsiTheme="minorHAnsi" w:cstheme="minorHAnsi"/>
          <w:b/>
          <w:bCs/>
          <w:color w:val="000000" w:themeColor="text1"/>
          <w:sz w:val="24"/>
          <w:szCs w:val="24"/>
          <w:highlight w:val="yellow"/>
        </w:rPr>
        <w:fldChar w:fldCharType="end"/>
      </w:r>
      <w:r w:rsidRPr="00143EDA">
        <w:rPr>
          <w:rFonts w:asciiTheme="minorHAnsi" w:hAnsiTheme="minorHAnsi" w:cstheme="minorHAnsi"/>
          <w:b/>
          <w:bCs/>
          <w:color w:val="000000" w:themeColor="text1"/>
          <w:sz w:val="24"/>
          <w:szCs w:val="24"/>
        </w:rPr>
        <w:t xml:space="preserve">Fuente: </w:t>
      </w:r>
      <w:r w:rsidRPr="00143EDA">
        <w:rPr>
          <w:rFonts w:asciiTheme="minorHAnsi" w:hAnsiTheme="minorHAnsi" w:cstheme="minorHAnsi"/>
          <w:color w:val="000000" w:themeColor="text1"/>
          <w:sz w:val="24"/>
          <w:szCs w:val="24"/>
        </w:rPr>
        <w:t>varios autores</w:t>
      </w:r>
      <w:r w:rsidRPr="00143EDA">
        <w:rPr>
          <w:rFonts w:asciiTheme="minorHAnsi" w:hAnsiTheme="minorHAnsi" w:cstheme="minorHAnsi"/>
          <w:b/>
          <w:bCs/>
          <w:color w:val="000000" w:themeColor="text1"/>
          <w:sz w:val="24"/>
          <w:szCs w:val="24"/>
        </w:rPr>
        <w:t xml:space="preserve"> </w:t>
      </w:r>
      <w:sdt>
        <w:sdtPr>
          <w:rPr>
            <w:rFonts w:asciiTheme="minorHAnsi" w:hAnsiTheme="minorHAnsi" w:cstheme="minorHAnsi"/>
            <w:b/>
            <w:bCs/>
            <w:color w:val="000000" w:themeColor="text1"/>
            <w:sz w:val="24"/>
            <w:szCs w:val="24"/>
          </w:rPr>
          <w:id w:val="738758491"/>
          <w:citation/>
        </w:sdtPr>
        <w:sdtContent>
          <w:r w:rsidRPr="00143EDA">
            <w:rPr>
              <w:rFonts w:asciiTheme="minorHAnsi" w:hAnsiTheme="minorHAnsi" w:cstheme="minorHAnsi"/>
              <w:b/>
              <w:bCs/>
              <w:color w:val="000000" w:themeColor="text1"/>
              <w:sz w:val="24"/>
              <w:szCs w:val="24"/>
            </w:rPr>
            <w:fldChar w:fldCharType="begin"/>
          </w:r>
          <w:r w:rsidRPr="00143EDA">
            <w:rPr>
              <w:rFonts w:asciiTheme="minorHAnsi" w:hAnsiTheme="minorHAnsi" w:cstheme="minorHAnsi"/>
              <w:b/>
              <w:bCs/>
              <w:color w:val="000000" w:themeColor="text1"/>
              <w:sz w:val="24"/>
              <w:szCs w:val="24"/>
            </w:rPr>
            <w:instrText xml:space="preserve"> CITATION Gar19 \l 3082 </w:instrText>
          </w:r>
          <w:r w:rsidRPr="00143EDA">
            <w:rPr>
              <w:rFonts w:asciiTheme="minorHAnsi" w:hAnsiTheme="minorHAnsi" w:cstheme="minorHAnsi"/>
              <w:b/>
              <w:bCs/>
              <w:color w:val="000000" w:themeColor="text1"/>
              <w:sz w:val="24"/>
              <w:szCs w:val="24"/>
            </w:rPr>
            <w:fldChar w:fldCharType="separate"/>
          </w:r>
          <w:r w:rsidRPr="00143EDA">
            <w:rPr>
              <w:rFonts w:asciiTheme="minorHAnsi" w:hAnsiTheme="minorHAnsi" w:cstheme="minorHAnsi"/>
              <w:noProof/>
              <w:color w:val="000000" w:themeColor="text1"/>
              <w:sz w:val="24"/>
              <w:szCs w:val="24"/>
            </w:rPr>
            <w:t>(15)</w:t>
          </w:r>
          <w:r w:rsidRPr="00143EDA">
            <w:rPr>
              <w:rFonts w:asciiTheme="minorHAnsi" w:hAnsiTheme="minorHAnsi" w:cstheme="minorHAnsi"/>
              <w:b/>
              <w:bCs/>
              <w:color w:val="000000" w:themeColor="text1"/>
              <w:sz w:val="24"/>
              <w:szCs w:val="24"/>
            </w:rPr>
            <w:fldChar w:fldCharType="end"/>
          </w:r>
        </w:sdtContent>
      </w:sdt>
      <w:r w:rsidRPr="00143EDA">
        <w:rPr>
          <w:rFonts w:asciiTheme="minorHAnsi" w:hAnsiTheme="minorHAnsi" w:cstheme="minorHAnsi"/>
          <w:b/>
          <w:bCs/>
          <w:color w:val="000000" w:themeColor="text1"/>
          <w:sz w:val="24"/>
          <w:szCs w:val="24"/>
        </w:rPr>
        <w:t xml:space="preserve"> </w:t>
      </w:r>
      <w:sdt>
        <w:sdtPr>
          <w:rPr>
            <w:rFonts w:asciiTheme="minorHAnsi" w:hAnsiTheme="minorHAnsi" w:cstheme="minorHAnsi"/>
            <w:b/>
            <w:bCs/>
            <w:color w:val="000000" w:themeColor="text1"/>
            <w:sz w:val="24"/>
            <w:szCs w:val="24"/>
          </w:rPr>
          <w:id w:val="-1584291254"/>
          <w:citation/>
        </w:sdtPr>
        <w:sdtContent>
          <w:r w:rsidRPr="00143EDA">
            <w:rPr>
              <w:rFonts w:asciiTheme="minorHAnsi" w:hAnsiTheme="minorHAnsi" w:cstheme="minorHAnsi"/>
              <w:b/>
              <w:bCs/>
              <w:color w:val="000000" w:themeColor="text1"/>
              <w:sz w:val="24"/>
              <w:szCs w:val="24"/>
            </w:rPr>
            <w:fldChar w:fldCharType="begin"/>
          </w:r>
          <w:r w:rsidRPr="00143EDA">
            <w:rPr>
              <w:rFonts w:asciiTheme="minorHAnsi" w:hAnsiTheme="minorHAnsi" w:cstheme="minorHAnsi"/>
              <w:b/>
              <w:bCs/>
              <w:color w:val="000000" w:themeColor="text1"/>
              <w:sz w:val="24"/>
              <w:szCs w:val="24"/>
            </w:rPr>
            <w:instrText xml:space="preserve"> CITATION Nuñ16 \l 3082 </w:instrText>
          </w:r>
          <w:r w:rsidRPr="00143EDA">
            <w:rPr>
              <w:rFonts w:asciiTheme="minorHAnsi" w:hAnsiTheme="minorHAnsi" w:cstheme="minorHAnsi"/>
              <w:b/>
              <w:bCs/>
              <w:color w:val="000000" w:themeColor="text1"/>
              <w:sz w:val="24"/>
              <w:szCs w:val="24"/>
            </w:rPr>
            <w:fldChar w:fldCharType="separate"/>
          </w:r>
          <w:r w:rsidRPr="00143EDA">
            <w:rPr>
              <w:rFonts w:asciiTheme="minorHAnsi" w:hAnsiTheme="minorHAnsi" w:cstheme="minorHAnsi"/>
              <w:noProof/>
              <w:color w:val="000000" w:themeColor="text1"/>
              <w:sz w:val="24"/>
              <w:szCs w:val="24"/>
            </w:rPr>
            <w:t>(16)</w:t>
          </w:r>
          <w:r w:rsidRPr="00143EDA">
            <w:rPr>
              <w:rFonts w:asciiTheme="minorHAnsi" w:hAnsiTheme="minorHAnsi" w:cstheme="minorHAnsi"/>
              <w:b/>
              <w:bCs/>
              <w:color w:val="000000" w:themeColor="text1"/>
              <w:sz w:val="24"/>
              <w:szCs w:val="24"/>
            </w:rPr>
            <w:fldChar w:fldCharType="end"/>
          </w:r>
        </w:sdtContent>
      </w:sdt>
    </w:p>
    <w:p w14:paraId="3B9FE3DF" w14:textId="7EF96702" w:rsidR="002C2DFC" w:rsidRPr="00143EDA" w:rsidRDefault="002C2DFC" w:rsidP="00143EDA">
      <w:pPr>
        <w:spacing w:line="276" w:lineRule="auto"/>
        <w:jc w:val="both"/>
        <w:rPr>
          <w:rFonts w:asciiTheme="minorHAnsi" w:hAnsiTheme="minorHAnsi" w:cstheme="minorHAnsi"/>
          <w:sz w:val="24"/>
          <w:szCs w:val="24"/>
        </w:rPr>
      </w:pPr>
    </w:p>
    <w:p w14:paraId="7D411490" w14:textId="77777777" w:rsidR="002C2DFC" w:rsidRPr="00143EDA"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El hipotiroidismo es una patología sistémica generada por la disminución funcional de la glándula tiroides a nivel tisular, esta es una glándula endocrina, que entre sus funciones se destaca por la regulación de hormonas. La población de los países en vía de desarrollo es más propensa a presentar hipotiroidismo por la escasez de yodo en la dieta, este es ingerido como yodato y yoduro el mismo que es indispensable para la correcta funcionalidad tiroidea. </w:t>
      </w:r>
      <w:sdt>
        <w:sdtPr>
          <w:rPr>
            <w:rFonts w:asciiTheme="minorHAnsi" w:hAnsiTheme="minorHAnsi" w:cstheme="minorHAnsi"/>
            <w:color w:val="000000" w:themeColor="text1"/>
            <w:sz w:val="24"/>
            <w:szCs w:val="24"/>
          </w:rPr>
          <w:id w:val="-1729749637"/>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CITATION Ald \l 12298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(17)</w:t>
          </w:r>
          <w:r w:rsidRPr="00143EDA">
            <w:rPr>
              <w:rFonts w:asciiTheme="minorHAnsi" w:hAnsiTheme="minorHAnsi" w:cstheme="minorHAnsi"/>
              <w:color w:val="000000" w:themeColor="text1"/>
              <w:sz w:val="24"/>
              <w:szCs w:val="24"/>
            </w:rPr>
            <w:fldChar w:fldCharType="end"/>
          </w:r>
        </w:sdtContent>
      </w:sdt>
    </w:p>
    <w:p w14:paraId="44BEE3C1" w14:textId="0B734D15" w:rsidR="002C2DFC"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Fisiopatológicamente interfiere con la secreción normal de gonadotropinas perjudicando la </w:t>
      </w:r>
      <w:r w:rsidR="00143EDA" w:rsidRPr="00143EDA">
        <w:rPr>
          <w:rFonts w:asciiTheme="minorHAnsi" w:hAnsiTheme="minorHAnsi" w:cstheme="minorHAnsi"/>
          <w:noProof/>
          <w:sz w:val="24"/>
          <w:szCs w:val="24"/>
        </w:rPr>
        <w:drawing>
          <wp:anchor distT="0" distB="0" distL="0" distR="0" simplePos="0" relativeHeight="251670528" behindDoc="1" locked="0" layoutInCell="1" allowOverlap="1" wp14:anchorId="5B1FDCED" wp14:editId="4AEBE3B5">
            <wp:simplePos x="0" y="0"/>
            <wp:positionH relativeFrom="margin">
              <wp:align>left</wp:align>
            </wp:positionH>
            <wp:positionV relativeFrom="page">
              <wp:posOffset>739140</wp:posOffset>
            </wp:positionV>
            <wp:extent cx="6156960" cy="9493885"/>
            <wp:effectExtent l="0" t="0" r="0" b="0"/>
            <wp:wrapNone/>
            <wp:docPr id="7" name="Imagen 7"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0" cstate="print"/>
                    <a:stretch>
                      <a:fillRect/>
                    </a:stretch>
                  </pic:blipFill>
                  <pic:spPr>
                    <a:xfrm>
                      <a:off x="0" y="0"/>
                      <a:ext cx="6156960" cy="9493885"/>
                    </a:xfrm>
                    <a:prstGeom prst="rect">
                      <a:avLst/>
                    </a:prstGeom>
                  </pic:spPr>
                </pic:pic>
              </a:graphicData>
            </a:graphic>
            <wp14:sizeRelH relativeFrom="margin">
              <wp14:pctWidth>0</wp14:pctWidth>
            </wp14:sizeRelH>
            <wp14:sizeRelV relativeFrom="margin">
              <wp14:pctHeight>0</wp14:pctHeight>
            </wp14:sizeRelV>
          </wp:anchor>
        </w:drawing>
      </w:r>
      <w:r w:rsidRPr="00143EDA">
        <w:rPr>
          <w:rFonts w:asciiTheme="minorHAnsi" w:hAnsiTheme="minorHAnsi" w:cstheme="minorHAnsi"/>
          <w:color w:val="000000" w:themeColor="text1"/>
          <w:sz w:val="24"/>
          <w:szCs w:val="24"/>
        </w:rPr>
        <w:t xml:space="preserve">conversión de estrógenos precursores a estrógenos, alterando la secreción de la hormona folículo estimulante y la de la hormona luteinizante. También se ha evidenciado un aumento de la concentración de prolactina, que resulta de la concentración </w:t>
      </w:r>
      <w:proofErr w:type="spellStart"/>
      <w:r w:rsidRPr="00143EDA">
        <w:rPr>
          <w:rFonts w:asciiTheme="minorHAnsi" w:hAnsiTheme="minorHAnsi" w:cstheme="minorHAnsi"/>
          <w:color w:val="000000" w:themeColor="text1"/>
          <w:sz w:val="24"/>
          <w:szCs w:val="24"/>
        </w:rPr>
        <w:t>infundibular</w:t>
      </w:r>
      <w:proofErr w:type="spellEnd"/>
      <w:r w:rsidRPr="00143EDA">
        <w:rPr>
          <w:rFonts w:asciiTheme="minorHAnsi" w:hAnsiTheme="minorHAnsi" w:cstheme="minorHAnsi"/>
          <w:color w:val="000000" w:themeColor="text1"/>
          <w:sz w:val="24"/>
          <w:szCs w:val="24"/>
        </w:rPr>
        <w:t xml:space="preserve"> de la hormona liberadora de tirotropina, que es un factor liberador de prolactina </w:t>
      </w:r>
      <w:sdt>
        <w:sdtPr>
          <w:rPr>
            <w:rFonts w:asciiTheme="minorHAnsi" w:hAnsiTheme="minorHAnsi" w:cstheme="minorHAnsi"/>
            <w:color w:val="000000" w:themeColor="text1"/>
            <w:sz w:val="24"/>
            <w:szCs w:val="24"/>
          </w:rPr>
          <w:id w:val="100228696"/>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CITATION Yag20 \l 12298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(18)</w:t>
          </w:r>
          <w:r w:rsidRPr="00143EDA">
            <w:rPr>
              <w:rFonts w:asciiTheme="minorHAnsi" w:hAnsiTheme="minorHAnsi" w:cstheme="minorHAnsi"/>
              <w:color w:val="000000" w:themeColor="text1"/>
              <w:sz w:val="24"/>
              <w:szCs w:val="24"/>
            </w:rPr>
            <w:fldChar w:fldCharType="end"/>
          </w:r>
        </w:sdtContent>
      </w:sdt>
      <w:r w:rsidR="00143EDA">
        <w:rPr>
          <w:rFonts w:asciiTheme="minorHAnsi" w:hAnsiTheme="minorHAnsi" w:cstheme="minorHAnsi"/>
          <w:color w:val="000000" w:themeColor="text1"/>
          <w:sz w:val="24"/>
          <w:szCs w:val="24"/>
        </w:rPr>
        <w:t>.</w:t>
      </w:r>
    </w:p>
    <w:p w14:paraId="4044B6A7" w14:textId="77777777" w:rsidR="00143EDA" w:rsidRPr="00143EDA" w:rsidRDefault="00143EDA" w:rsidP="00143EDA">
      <w:pPr>
        <w:spacing w:line="276" w:lineRule="auto"/>
        <w:jc w:val="both"/>
        <w:rPr>
          <w:rFonts w:asciiTheme="minorHAnsi" w:hAnsiTheme="minorHAnsi" w:cstheme="minorHAnsi"/>
          <w:color w:val="000000" w:themeColor="text1"/>
          <w:sz w:val="24"/>
          <w:szCs w:val="24"/>
        </w:rPr>
      </w:pPr>
    </w:p>
    <w:p w14:paraId="6A343E4C" w14:textId="3D36E2FD" w:rsidR="002C2DFC"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La disfunción tiroidea autoinmune que incide en el 15% de las mujeres en edad fértil y se relaciona con un aumento del riesgo dos veces mayor de infertilidad que en una situación estándar. En la AIT, la presencia de anti-TPO se relaciona con la infertilidad y una mayor tendencia de abortos tendencia que se acentúa en presencia de HSC.</w:t>
      </w:r>
    </w:p>
    <w:p w14:paraId="228B21AB"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1E9CC804"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68E5E1F1"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35FE9169"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7DAEE085" w14:textId="77777777" w:rsidR="00143EDA" w:rsidRPr="00143EDA" w:rsidRDefault="00143EDA" w:rsidP="00143EDA">
      <w:pPr>
        <w:spacing w:line="276" w:lineRule="auto"/>
        <w:jc w:val="both"/>
        <w:rPr>
          <w:rFonts w:asciiTheme="minorHAnsi" w:hAnsiTheme="minorHAnsi" w:cstheme="minorHAnsi"/>
          <w:color w:val="000000" w:themeColor="text1"/>
          <w:sz w:val="24"/>
          <w:szCs w:val="24"/>
        </w:rPr>
      </w:pPr>
    </w:p>
    <w:p w14:paraId="5ED7FD07" w14:textId="77777777" w:rsidR="00BC103B"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lastRenderedPageBreak/>
        <w:t xml:space="preserve">El hipotiroidismo subclínico es definido como el aumento en concentraciones séricas de Hormona Estimulante de Tiroides con los niveles libres normales de la tiroxina. Se ha asociado a aumento de la frecuencia de la infertilidad con una prevalencia en mujeres infértiles del 0,7% al 10.2%. El hipotiroidismo subclínico evidente potencialmente puede tener un impacto significativo en los resultados reproductivos. Las complicaciones pueden incluir una mayor incidencia de infertilidad, aborto espontáneo, resultados obstétricos y fetales adversos. La Asociación Americana de Endocrinología Clínica (AACE) y la asociación Americana de Tiroides (TES) recomiendan la medición de hormona estimulante de tiroides a mujeres en edad reproductiva antes del embarazo o en el primer trimestre de gestación. </w:t>
      </w:r>
      <w:sdt>
        <w:sdtPr>
          <w:rPr>
            <w:rFonts w:asciiTheme="minorHAnsi" w:hAnsiTheme="minorHAnsi" w:cstheme="minorHAnsi"/>
            <w:color w:val="000000" w:themeColor="text1"/>
            <w:sz w:val="24"/>
            <w:szCs w:val="24"/>
          </w:rPr>
          <w:id w:val="2041089892"/>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 CITATION Lug19 \l 12298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(19)</w:t>
          </w:r>
          <w:r w:rsidRPr="00143EDA">
            <w:rPr>
              <w:rFonts w:asciiTheme="minorHAnsi" w:hAnsiTheme="minorHAnsi" w:cstheme="minorHAnsi"/>
              <w:color w:val="000000" w:themeColor="text1"/>
              <w:sz w:val="24"/>
              <w:szCs w:val="24"/>
            </w:rPr>
            <w:fldChar w:fldCharType="end"/>
          </w:r>
        </w:sdtContent>
      </w:sdt>
      <w:r w:rsidRPr="00143EDA">
        <w:rPr>
          <w:rFonts w:asciiTheme="minorHAnsi" w:hAnsiTheme="minorHAnsi" w:cstheme="minorHAnsi"/>
          <w:color w:val="000000" w:themeColor="text1"/>
          <w:sz w:val="24"/>
          <w:szCs w:val="24"/>
        </w:rPr>
        <w:t>. El Hipotiroidismo subclínico: afecta al 2-4% de mujeres en edad reproductiva. Su curso clínico es asintomático y el diagnóstico es bioquímico (TSH elevada con T4L normal).</w:t>
      </w:r>
    </w:p>
    <w:p w14:paraId="6CBBEA69" w14:textId="1ABF9724" w:rsidR="00BC103B" w:rsidRDefault="00BC103B" w:rsidP="00143EDA">
      <w:pPr>
        <w:spacing w:line="276" w:lineRule="auto"/>
        <w:jc w:val="both"/>
        <w:rPr>
          <w:rFonts w:asciiTheme="minorHAnsi" w:hAnsiTheme="minorHAnsi" w:cstheme="minorHAnsi"/>
          <w:color w:val="000000" w:themeColor="text1"/>
          <w:sz w:val="24"/>
          <w:szCs w:val="24"/>
        </w:rPr>
      </w:pPr>
      <w:r>
        <w:rPr>
          <w:noProof/>
        </w:rPr>
        <w:drawing>
          <wp:anchor distT="0" distB="0" distL="0" distR="0" simplePos="0" relativeHeight="251702272" behindDoc="1" locked="0" layoutInCell="1" allowOverlap="1" wp14:anchorId="4315FB1F" wp14:editId="2ECBBAE0">
            <wp:simplePos x="0" y="0"/>
            <wp:positionH relativeFrom="margin">
              <wp:align>left</wp:align>
            </wp:positionH>
            <wp:positionV relativeFrom="margin">
              <wp:posOffset>-266700</wp:posOffset>
            </wp:positionV>
            <wp:extent cx="6134100" cy="9631215"/>
            <wp:effectExtent l="0" t="0" r="0" b="8255"/>
            <wp:wrapNone/>
            <wp:docPr id="835257760"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57760" name="image2.png" descr="Patrón de fondo&#10;&#10;Descripción generada automáticamente con confianza media"/>
                    <pic:cNvPicPr/>
                  </pic:nvPicPr>
                  <pic:blipFill>
                    <a:blip r:embed="rId10" cstate="print"/>
                    <a:stretch>
                      <a:fillRect/>
                    </a:stretch>
                  </pic:blipFill>
                  <pic:spPr>
                    <a:xfrm>
                      <a:off x="0" y="0"/>
                      <a:ext cx="6134100" cy="9631215"/>
                    </a:xfrm>
                    <a:prstGeom prst="rect">
                      <a:avLst/>
                    </a:prstGeom>
                  </pic:spPr>
                </pic:pic>
              </a:graphicData>
            </a:graphic>
            <wp14:sizeRelH relativeFrom="margin">
              <wp14:pctWidth>0</wp14:pctWidth>
            </wp14:sizeRelH>
            <wp14:sizeRelV relativeFrom="margin">
              <wp14:pctHeight>0</wp14:pctHeight>
            </wp14:sizeRelV>
          </wp:anchor>
        </w:drawing>
      </w:r>
    </w:p>
    <w:p w14:paraId="6F1D31A4" w14:textId="77777777" w:rsidR="00BC103B"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 A veces provoca la aparición de insuficiencia en fase </w:t>
      </w:r>
      <w:proofErr w:type="spellStart"/>
      <w:r w:rsidRPr="00143EDA">
        <w:rPr>
          <w:rFonts w:asciiTheme="minorHAnsi" w:hAnsiTheme="minorHAnsi" w:cstheme="minorHAnsi"/>
          <w:color w:val="000000" w:themeColor="text1"/>
          <w:sz w:val="24"/>
          <w:szCs w:val="24"/>
        </w:rPr>
        <w:t>luteínica</w:t>
      </w:r>
      <w:proofErr w:type="spellEnd"/>
      <w:r w:rsidRPr="00143EDA">
        <w:rPr>
          <w:rFonts w:asciiTheme="minorHAnsi" w:hAnsiTheme="minorHAnsi" w:cstheme="minorHAnsi"/>
          <w:color w:val="000000" w:themeColor="text1"/>
          <w:sz w:val="24"/>
          <w:szCs w:val="24"/>
        </w:rPr>
        <w:t xml:space="preserve">, irregularidades menstruales sobre todo menorragia debido a la disminución de síntesis de factores VII, VIII, IX y XI de la coagulación; además existen receptores de hormonas tiroideas en el ovocito, que actúan sinérgicamente con la LH/HCG estimulando la producción de progesterona por las células de la granulosa y la diferenciación trofoblástica. Existe controversia en la literatura sobre la necesidad de ser tratado. </w:t>
      </w:r>
      <w:sdt>
        <w:sdtPr>
          <w:rPr>
            <w:rFonts w:asciiTheme="minorHAnsi" w:hAnsiTheme="minorHAnsi" w:cstheme="minorHAnsi"/>
            <w:color w:val="000000" w:themeColor="text1"/>
            <w:sz w:val="24"/>
            <w:szCs w:val="24"/>
          </w:rPr>
          <w:id w:val="-855117650"/>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 CITATION Per17 \l 12298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(20)</w:t>
          </w:r>
          <w:r w:rsidRPr="00143EDA">
            <w:rPr>
              <w:rFonts w:asciiTheme="minorHAnsi" w:hAnsiTheme="minorHAnsi" w:cstheme="minorHAnsi"/>
              <w:color w:val="000000" w:themeColor="text1"/>
              <w:sz w:val="24"/>
              <w:szCs w:val="24"/>
            </w:rPr>
            <w:fldChar w:fldCharType="end"/>
          </w:r>
        </w:sdtContent>
      </w:sdt>
      <w:r w:rsidRPr="00143EDA">
        <w:rPr>
          <w:rFonts w:asciiTheme="minorHAnsi" w:hAnsiTheme="minorHAnsi" w:cstheme="minorHAnsi"/>
          <w:color w:val="000000" w:themeColor="text1"/>
          <w:sz w:val="24"/>
          <w:szCs w:val="24"/>
        </w:rPr>
        <w:t xml:space="preserve">, en la </w:t>
      </w:r>
      <w:proofErr w:type="spellStart"/>
      <w:r w:rsidRPr="00143EDA">
        <w:rPr>
          <w:rFonts w:asciiTheme="minorHAnsi" w:hAnsiTheme="minorHAnsi" w:cstheme="minorHAnsi"/>
          <w:color w:val="000000" w:themeColor="text1"/>
          <w:sz w:val="24"/>
          <w:szCs w:val="24"/>
        </w:rPr>
        <w:t>clinica</w:t>
      </w:r>
      <w:proofErr w:type="spellEnd"/>
      <w:r w:rsidRPr="00143EDA">
        <w:rPr>
          <w:rFonts w:asciiTheme="minorHAnsi" w:hAnsiTheme="minorHAnsi" w:cstheme="minorHAnsi"/>
          <w:color w:val="000000" w:themeColor="text1"/>
          <w:sz w:val="24"/>
          <w:szCs w:val="24"/>
        </w:rPr>
        <w:t xml:space="preserve"> generalmente no presenta síntomas, sin embargo, el 30% de los pacientes que lo padecen si los puede presentar, entre los más frecuentes encontramos: fatiga (88%), intolerancia al frío (84%), piel seca (77%), voz ronca (74%), ganancia de peso (72%), somnolencia (68%), parestesias (56%), constipación (52%) y entre a los signos más frecuentes que se presentan encontramos al edema </w:t>
      </w:r>
      <w:proofErr w:type="spellStart"/>
      <w:r w:rsidRPr="00143EDA">
        <w:rPr>
          <w:rFonts w:asciiTheme="minorHAnsi" w:hAnsiTheme="minorHAnsi" w:cstheme="minorHAnsi"/>
          <w:color w:val="000000" w:themeColor="text1"/>
          <w:sz w:val="24"/>
          <w:szCs w:val="24"/>
        </w:rPr>
        <w:t>periorbital</w:t>
      </w:r>
      <w:proofErr w:type="spellEnd"/>
      <w:r w:rsidRPr="00143EDA">
        <w:rPr>
          <w:rFonts w:asciiTheme="minorHAnsi" w:hAnsiTheme="minorHAnsi" w:cstheme="minorHAnsi"/>
          <w:color w:val="000000" w:themeColor="text1"/>
          <w:sz w:val="24"/>
          <w:szCs w:val="24"/>
        </w:rPr>
        <w:t xml:space="preserve"> (76%), movimientos lentos (73%) y la bradicardia (10%) </w:t>
      </w:r>
      <w:sdt>
        <w:sdtPr>
          <w:rPr>
            <w:rFonts w:asciiTheme="minorHAnsi" w:hAnsiTheme="minorHAnsi" w:cstheme="minorHAnsi"/>
            <w:color w:val="000000" w:themeColor="text1"/>
            <w:sz w:val="24"/>
            <w:szCs w:val="24"/>
          </w:rPr>
          <w:id w:val="-1603792702"/>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CITATION Pat19 \l 12298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(21)</w:t>
          </w:r>
          <w:r w:rsidRPr="00143EDA">
            <w:rPr>
              <w:rFonts w:asciiTheme="minorHAnsi" w:hAnsiTheme="minorHAnsi" w:cstheme="minorHAnsi"/>
              <w:color w:val="000000" w:themeColor="text1"/>
              <w:sz w:val="24"/>
              <w:szCs w:val="24"/>
            </w:rPr>
            <w:fldChar w:fldCharType="end"/>
          </w:r>
        </w:sdtContent>
      </w:sdt>
      <w:r w:rsidRPr="00143EDA">
        <w:rPr>
          <w:rFonts w:asciiTheme="minorHAnsi" w:hAnsiTheme="minorHAnsi" w:cstheme="minorHAnsi"/>
          <w:color w:val="000000" w:themeColor="text1"/>
          <w:sz w:val="24"/>
          <w:szCs w:val="24"/>
        </w:rPr>
        <w:t>, quiere decir que el hipotiroidismo, especialmente en su forma subclínica, puede afectar negativamente la fertilidad femenina, aumentando el riesgo de infertilidad y complicaciones durante el embarazo. Un diagnóstico y tratamiento oportuno son importantes para optimizar los resultados reproductivos en mujeres con esta condición.</w:t>
      </w:r>
    </w:p>
    <w:p w14:paraId="48D7FE7C" w14:textId="043B3998" w:rsidR="002C2DFC" w:rsidRPr="00143EDA"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 </w:t>
      </w:r>
    </w:p>
    <w:p w14:paraId="214AB018" w14:textId="4AA7FDD3" w:rsidR="002C2DFC" w:rsidRPr="00143EDA" w:rsidRDefault="00BC103B" w:rsidP="00143EDA">
      <w:pPr>
        <w:spacing w:line="276" w:lineRule="auto"/>
        <w:jc w:val="both"/>
        <w:rPr>
          <w:rFonts w:asciiTheme="minorHAnsi" w:hAnsiTheme="minorHAnsi" w:cstheme="minorHAnsi"/>
          <w:b/>
          <w:bCs/>
          <w:color w:val="000000" w:themeColor="text1"/>
          <w:sz w:val="24"/>
          <w:szCs w:val="24"/>
        </w:rPr>
      </w:pPr>
      <w:r w:rsidRPr="00143EDA">
        <w:rPr>
          <w:rFonts w:asciiTheme="minorHAnsi" w:hAnsiTheme="minorHAnsi" w:cstheme="minorHAnsi"/>
          <w:b/>
          <w:bCs/>
          <w:color w:val="000000" w:themeColor="text1"/>
          <w:sz w:val="24"/>
          <w:szCs w:val="24"/>
        </w:rPr>
        <w:t>Clínica</w:t>
      </w:r>
    </w:p>
    <w:p w14:paraId="087374BD" w14:textId="77777777" w:rsidR="00143EDA"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Los síntomas de hipotiroidismo incluyen fatiga, letargia, aumento de peso a pesar de la pérdida del apetito, intolerancia al frío, ronquera, estreñimiento, debilidad, mialgias, artralgias, parestesias, sequedad de la piel y caída del pelo. Las mujeres pueden desarrollar pubertad precoz, menorragia, amenorrea y galactorrea. </w:t>
      </w:r>
    </w:p>
    <w:p w14:paraId="3AE40BB8" w14:textId="77777777" w:rsidR="00143EDA" w:rsidRDefault="00143EDA" w:rsidP="00143EDA">
      <w:pPr>
        <w:spacing w:line="276" w:lineRule="auto"/>
        <w:jc w:val="both"/>
        <w:rPr>
          <w:rFonts w:asciiTheme="minorHAnsi" w:hAnsiTheme="minorHAnsi" w:cstheme="minorHAnsi"/>
          <w:color w:val="000000" w:themeColor="text1"/>
          <w:sz w:val="24"/>
          <w:szCs w:val="24"/>
        </w:rPr>
      </w:pPr>
    </w:p>
    <w:p w14:paraId="4952426A" w14:textId="4C60DBFB" w:rsidR="002C2DFC"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Las personas afectadas pueden desarrollar depresión, con iniciativa y sociabilidad limitadas. Las deficiencias cognitivas pueden oscilar entre lapsus leves de la memoria y el delirio, la demencia, las convulsiones y el coma. Sin embargo, en el HSC, los síntomas suelen no estar presentes o ser muy leves. Los intervalos de referencia establecidos para los niveles de TSH se encuentran normalmente entre 0,5 y 4,5 </w:t>
      </w:r>
      <w:proofErr w:type="spellStart"/>
      <w:r w:rsidRPr="00143EDA">
        <w:rPr>
          <w:rFonts w:asciiTheme="minorHAnsi" w:hAnsiTheme="minorHAnsi" w:cstheme="minorHAnsi"/>
          <w:color w:val="000000" w:themeColor="text1"/>
          <w:sz w:val="24"/>
          <w:szCs w:val="24"/>
        </w:rPr>
        <w:t>mUI</w:t>
      </w:r>
      <w:proofErr w:type="spellEnd"/>
      <w:r w:rsidRPr="00143EDA">
        <w:rPr>
          <w:rFonts w:asciiTheme="minorHAnsi" w:hAnsiTheme="minorHAnsi" w:cstheme="minorHAnsi"/>
          <w:color w:val="000000" w:themeColor="text1"/>
          <w:sz w:val="24"/>
          <w:szCs w:val="24"/>
        </w:rPr>
        <w:t xml:space="preserve">. </w:t>
      </w:r>
      <w:sdt>
        <w:sdtPr>
          <w:rPr>
            <w:rFonts w:asciiTheme="minorHAnsi" w:hAnsiTheme="minorHAnsi" w:cstheme="minorHAnsi"/>
            <w:color w:val="000000" w:themeColor="text1"/>
            <w:sz w:val="24"/>
            <w:szCs w:val="24"/>
          </w:rPr>
          <w:id w:val="-983242601"/>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 CITATION Ara191 \l 12298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(22)</w:t>
          </w:r>
          <w:r w:rsidRPr="00143EDA">
            <w:rPr>
              <w:rFonts w:asciiTheme="minorHAnsi" w:hAnsiTheme="minorHAnsi" w:cstheme="minorHAnsi"/>
              <w:color w:val="000000" w:themeColor="text1"/>
              <w:sz w:val="24"/>
              <w:szCs w:val="24"/>
            </w:rPr>
            <w:fldChar w:fldCharType="end"/>
          </w:r>
        </w:sdtContent>
      </w:sdt>
      <w:r w:rsidR="00143EDA">
        <w:rPr>
          <w:rFonts w:asciiTheme="minorHAnsi" w:hAnsiTheme="minorHAnsi" w:cstheme="minorHAnsi"/>
          <w:color w:val="000000" w:themeColor="text1"/>
          <w:sz w:val="24"/>
          <w:szCs w:val="24"/>
        </w:rPr>
        <w:t>.</w:t>
      </w:r>
    </w:p>
    <w:p w14:paraId="3726D4A7"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38435902"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30960AAA"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0A525798"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07D48D2D"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1BC43262"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1B410043" w14:textId="77777777" w:rsidR="00143EDA" w:rsidRPr="00143EDA" w:rsidRDefault="00143EDA" w:rsidP="00143EDA">
      <w:pPr>
        <w:spacing w:line="276" w:lineRule="auto"/>
        <w:jc w:val="both"/>
        <w:rPr>
          <w:rFonts w:asciiTheme="minorHAnsi" w:hAnsiTheme="minorHAnsi" w:cstheme="minorHAnsi"/>
          <w:color w:val="000000" w:themeColor="text1"/>
          <w:sz w:val="24"/>
          <w:szCs w:val="24"/>
        </w:rPr>
      </w:pPr>
    </w:p>
    <w:p w14:paraId="73CAB119" w14:textId="77777777" w:rsidR="002C2DFC"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El hipotiroidismo se asocia, frecuentemente, con irregularidades menstruales. </w:t>
      </w:r>
      <w:proofErr w:type="spellStart"/>
      <w:r w:rsidRPr="00143EDA">
        <w:rPr>
          <w:rFonts w:asciiTheme="minorHAnsi" w:hAnsiTheme="minorHAnsi" w:cstheme="minorHAnsi"/>
          <w:color w:val="000000" w:themeColor="text1"/>
          <w:sz w:val="24"/>
          <w:szCs w:val="24"/>
        </w:rPr>
        <w:t>Krassas</w:t>
      </w:r>
      <w:proofErr w:type="spellEnd"/>
      <w:r w:rsidRPr="00143EDA">
        <w:rPr>
          <w:rFonts w:asciiTheme="minorHAnsi" w:hAnsiTheme="minorHAnsi" w:cstheme="minorHAnsi"/>
          <w:color w:val="000000" w:themeColor="text1"/>
          <w:sz w:val="24"/>
          <w:szCs w:val="24"/>
        </w:rPr>
        <w:t xml:space="preserve"> y sus colaboradores mostraron que la prevalencia de oligomenorrea fue de 23% entre mujeres hipotiroideas, en comparación con 8% en controles eutiroideos. La gravedad de las anomalías menstruales se asoció con la elevación de las concentraciones séricas de hormona estimulante de la tiroides (TSH). Esta enfermedad también se asocia con menorragia debido a la producción alterada de factores de coagulación, como la disminución de las concentraciones de factores VII, VIII, IX y XI. </w:t>
      </w:r>
      <w:sdt>
        <w:sdtPr>
          <w:rPr>
            <w:rFonts w:asciiTheme="minorHAnsi" w:hAnsiTheme="minorHAnsi" w:cstheme="minorHAnsi"/>
            <w:color w:val="000000" w:themeColor="text1"/>
            <w:sz w:val="24"/>
            <w:szCs w:val="24"/>
          </w:rPr>
          <w:id w:val="-785273340"/>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 CITATION Jim20 \l 12298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(23)</w:t>
          </w:r>
          <w:r w:rsidRPr="00143EDA">
            <w:rPr>
              <w:rFonts w:asciiTheme="minorHAnsi" w:hAnsiTheme="minorHAnsi" w:cstheme="minorHAnsi"/>
              <w:color w:val="000000" w:themeColor="text1"/>
              <w:sz w:val="24"/>
              <w:szCs w:val="24"/>
            </w:rPr>
            <w:fldChar w:fldCharType="end"/>
          </w:r>
        </w:sdtContent>
      </w:sdt>
    </w:p>
    <w:p w14:paraId="7B47DA30" w14:textId="77777777" w:rsidR="00E709A0" w:rsidRPr="00143EDA" w:rsidRDefault="00E709A0" w:rsidP="00143EDA">
      <w:pPr>
        <w:spacing w:line="276" w:lineRule="auto"/>
        <w:jc w:val="both"/>
        <w:rPr>
          <w:rFonts w:asciiTheme="minorHAnsi" w:hAnsiTheme="minorHAnsi" w:cstheme="minorHAnsi"/>
          <w:color w:val="000000" w:themeColor="text1"/>
          <w:sz w:val="24"/>
          <w:szCs w:val="24"/>
        </w:rPr>
      </w:pPr>
    </w:p>
    <w:p w14:paraId="41F90F0F" w14:textId="534E7567" w:rsidR="002C2DFC"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Con respecto al riesgo cardiovascular en general, el mejor predictor determinado hasta el momento es una concentración de TSH &gt;10mU/L, y según recientes estudios, añaden que este riesgo es mayor en personas jóvenes, y que además esta población tiene mayor susceptibilidad de progresar a hipotiroidismo florido. Igualmente, de todas las alteraciones lipídicas, la única que ha mostrado relación directa es la </w:t>
      </w:r>
      <w:proofErr w:type="spellStart"/>
      <w:r w:rsidRPr="00143EDA">
        <w:rPr>
          <w:rFonts w:asciiTheme="minorHAnsi" w:hAnsiTheme="minorHAnsi" w:cstheme="minorHAnsi"/>
          <w:color w:val="000000" w:themeColor="text1"/>
          <w:sz w:val="24"/>
          <w:szCs w:val="24"/>
        </w:rPr>
        <w:t>hipertrigliceridemia</w:t>
      </w:r>
      <w:proofErr w:type="spellEnd"/>
      <w:r w:rsidRPr="00143EDA">
        <w:rPr>
          <w:rFonts w:asciiTheme="minorHAnsi" w:hAnsiTheme="minorHAnsi" w:cstheme="minorHAnsi"/>
          <w:color w:val="000000" w:themeColor="text1"/>
          <w:sz w:val="24"/>
          <w:szCs w:val="24"/>
        </w:rPr>
        <w:t xml:space="preserve"> </w:t>
      </w:r>
      <w:sdt>
        <w:sdtPr>
          <w:rPr>
            <w:rFonts w:asciiTheme="minorHAnsi" w:hAnsiTheme="minorHAnsi" w:cstheme="minorHAnsi"/>
            <w:color w:val="000000" w:themeColor="text1"/>
            <w:sz w:val="24"/>
            <w:szCs w:val="24"/>
          </w:rPr>
          <w:id w:val="543874420"/>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 CITATION Álv20 \l 12298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(24)</w:t>
          </w:r>
          <w:r w:rsidRPr="00143EDA">
            <w:rPr>
              <w:rFonts w:asciiTheme="minorHAnsi" w:hAnsiTheme="minorHAnsi" w:cstheme="minorHAnsi"/>
              <w:color w:val="000000" w:themeColor="text1"/>
              <w:sz w:val="24"/>
              <w:szCs w:val="24"/>
            </w:rPr>
            <w:fldChar w:fldCharType="end"/>
          </w:r>
        </w:sdtContent>
      </w:sdt>
      <w:r w:rsidR="00143EDA">
        <w:rPr>
          <w:rFonts w:asciiTheme="minorHAnsi" w:hAnsiTheme="minorHAnsi" w:cstheme="minorHAnsi"/>
          <w:color w:val="000000" w:themeColor="text1"/>
          <w:sz w:val="24"/>
          <w:szCs w:val="24"/>
        </w:rPr>
        <w:t>.</w:t>
      </w:r>
    </w:p>
    <w:p w14:paraId="5FAD69C5" w14:textId="77777777" w:rsidR="00BC103B" w:rsidRDefault="00BC103B" w:rsidP="00143EDA">
      <w:pPr>
        <w:spacing w:line="276" w:lineRule="auto"/>
        <w:jc w:val="both"/>
        <w:rPr>
          <w:rFonts w:asciiTheme="minorHAnsi" w:hAnsiTheme="minorHAnsi" w:cstheme="minorHAnsi"/>
          <w:color w:val="000000" w:themeColor="text1"/>
          <w:sz w:val="24"/>
          <w:szCs w:val="24"/>
        </w:rPr>
      </w:pPr>
    </w:p>
    <w:p w14:paraId="0AC37969" w14:textId="43E913E7" w:rsidR="002C2DFC" w:rsidRPr="00143EDA"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noProof/>
          <w:sz w:val="24"/>
          <w:szCs w:val="24"/>
        </w:rPr>
        <w:drawing>
          <wp:anchor distT="0" distB="0" distL="0" distR="0" simplePos="0" relativeHeight="251676672" behindDoc="1" locked="0" layoutInCell="1" allowOverlap="1" wp14:anchorId="0702CD59" wp14:editId="1CED9A0B">
            <wp:simplePos x="0" y="0"/>
            <wp:positionH relativeFrom="margin">
              <wp:align>left</wp:align>
            </wp:positionH>
            <wp:positionV relativeFrom="page">
              <wp:posOffset>1005840</wp:posOffset>
            </wp:positionV>
            <wp:extent cx="6172200" cy="9493885"/>
            <wp:effectExtent l="0" t="0" r="0" b="0"/>
            <wp:wrapNone/>
            <wp:docPr id="8" name="Imagen 8"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0" cstate="print"/>
                    <a:stretch>
                      <a:fillRect/>
                    </a:stretch>
                  </pic:blipFill>
                  <pic:spPr>
                    <a:xfrm>
                      <a:off x="0" y="0"/>
                      <a:ext cx="6172200" cy="9493885"/>
                    </a:xfrm>
                    <a:prstGeom prst="rect">
                      <a:avLst/>
                    </a:prstGeom>
                  </pic:spPr>
                </pic:pic>
              </a:graphicData>
            </a:graphic>
            <wp14:sizeRelH relativeFrom="margin">
              <wp14:pctWidth>0</wp14:pctWidth>
            </wp14:sizeRelH>
            <wp14:sizeRelV relativeFrom="margin">
              <wp14:pctHeight>0</wp14:pctHeight>
            </wp14:sizeRelV>
          </wp:anchor>
        </w:drawing>
      </w:r>
      <w:r w:rsidRPr="00143EDA">
        <w:rPr>
          <w:rFonts w:asciiTheme="minorHAnsi" w:hAnsiTheme="minorHAnsi" w:cstheme="minorHAnsi"/>
          <w:color w:val="000000" w:themeColor="text1"/>
          <w:sz w:val="24"/>
          <w:szCs w:val="24"/>
        </w:rPr>
        <w:t xml:space="preserve">Otro de los problemas asociados a esta patología es, el aumento del riesgo de desarrollar aterosclerosis y enfermedad cardiovascular, elevación de colesterol total y LDL-C con disminución de colesterol asociado a HDL-C, hipertensión arterial, inflamación con aumentos de proteína C reactiva ultrasensible, hiperinsulinemia, </w:t>
      </w:r>
      <w:proofErr w:type="spellStart"/>
      <w:r w:rsidRPr="00143EDA">
        <w:rPr>
          <w:rFonts w:asciiTheme="minorHAnsi" w:hAnsiTheme="minorHAnsi" w:cstheme="minorHAnsi"/>
          <w:color w:val="000000" w:themeColor="text1"/>
          <w:sz w:val="24"/>
          <w:szCs w:val="24"/>
        </w:rPr>
        <w:t>hipertrigliceridemia</w:t>
      </w:r>
      <w:proofErr w:type="spellEnd"/>
      <w:r w:rsidRPr="00143EDA">
        <w:rPr>
          <w:rFonts w:asciiTheme="minorHAnsi" w:hAnsiTheme="minorHAnsi" w:cstheme="minorHAnsi"/>
          <w:color w:val="000000" w:themeColor="text1"/>
          <w:sz w:val="24"/>
          <w:szCs w:val="24"/>
        </w:rPr>
        <w:t xml:space="preserve"> y síntomas neuropsiquiátricos. </w:t>
      </w:r>
      <w:sdt>
        <w:sdtPr>
          <w:rPr>
            <w:rFonts w:asciiTheme="minorHAnsi" w:hAnsiTheme="minorHAnsi" w:cstheme="minorHAnsi"/>
            <w:color w:val="000000" w:themeColor="text1"/>
            <w:sz w:val="24"/>
            <w:szCs w:val="24"/>
          </w:rPr>
          <w:id w:val="-133870677"/>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 CITATION Pon21 \l 12298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(25)</w:t>
          </w:r>
          <w:r w:rsidRPr="00143EDA">
            <w:rPr>
              <w:rFonts w:asciiTheme="minorHAnsi" w:hAnsiTheme="minorHAnsi" w:cstheme="minorHAnsi"/>
              <w:color w:val="000000" w:themeColor="text1"/>
              <w:sz w:val="24"/>
              <w:szCs w:val="24"/>
            </w:rPr>
            <w:fldChar w:fldCharType="end"/>
          </w:r>
        </w:sdtContent>
      </w:sdt>
    </w:p>
    <w:p w14:paraId="08156526" w14:textId="77777777" w:rsidR="002C2DFC" w:rsidRPr="00143EDA"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Los síntomas y las alteraciones gastrointestinales coexistentes en hipotiroidismo congénito corresponden a la disfagia, vómitos, disminución del vaciamiento gástrico, sobrecrecimiento bacteriano de intestino delgado y rara vez </w:t>
      </w:r>
      <w:proofErr w:type="spellStart"/>
      <w:r w:rsidRPr="00143EDA">
        <w:rPr>
          <w:rFonts w:asciiTheme="minorHAnsi" w:hAnsiTheme="minorHAnsi" w:cstheme="minorHAnsi"/>
          <w:color w:val="000000" w:themeColor="text1"/>
          <w:sz w:val="24"/>
          <w:szCs w:val="24"/>
        </w:rPr>
        <w:t>pseudo-obstrucción</w:t>
      </w:r>
      <w:proofErr w:type="spellEnd"/>
      <w:r w:rsidRPr="00143EDA">
        <w:rPr>
          <w:rFonts w:asciiTheme="minorHAnsi" w:hAnsiTheme="minorHAnsi" w:cstheme="minorHAnsi"/>
          <w:color w:val="000000" w:themeColor="text1"/>
          <w:sz w:val="24"/>
          <w:szCs w:val="24"/>
        </w:rPr>
        <w:t xml:space="preserve"> intestinal. Las recomendaciones actuales en el abordaje de la </w:t>
      </w:r>
      <w:proofErr w:type="spellStart"/>
      <w:r w:rsidRPr="00143EDA">
        <w:rPr>
          <w:rFonts w:asciiTheme="minorHAnsi" w:hAnsiTheme="minorHAnsi" w:cstheme="minorHAnsi"/>
          <w:color w:val="000000" w:themeColor="text1"/>
          <w:sz w:val="24"/>
          <w:szCs w:val="24"/>
        </w:rPr>
        <w:t>pseudo-obstrucción</w:t>
      </w:r>
      <w:proofErr w:type="spellEnd"/>
      <w:r w:rsidRPr="00143EDA">
        <w:rPr>
          <w:rFonts w:asciiTheme="minorHAnsi" w:hAnsiTheme="minorHAnsi" w:cstheme="minorHAnsi"/>
          <w:color w:val="000000" w:themeColor="text1"/>
          <w:sz w:val="24"/>
          <w:szCs w:val="24"/>
        </w:rPr>
        <w:t xml:space="preserve"> intestinal crónica pediátrica sugieren realizar exámenes de función tiroidea, principalmente ante la presencia de signos de hipotiroidismo. </w:t>
      </w:r>
      <w:sdt>
        <w:sdtPr>
          <w:rPr>
            <w:rFonts w:asciiTheme="minorHAnsi" w:hAnsiTheme="minorHAnsi" w:cstheme="minorHAnsi"/>
            <w:color w:val="000000" w:themeColor="text1"/>
            <w:sz w:val="24"/>
            <w:szCs w:val="24"/>
          </w:rPr>
          <w:id w:val="1676453858"/>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 CITATION Peñ22 \l 12298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(26)</w:t>
          </w:r>
          <w:r w:rsidRPr="00143EDA">
            <w:rPr>
              <w:rFonts w:asciiTheme="minorHAnsi" w:hAnsiTheme="minorHAnsi" w:cstheme="minorHAnsi"/>
              <w:color w:val="000000" w:themeColor="text1"/>
              <w:sz w:val="24"/>
              <w:szCs w:val="24"/>
            </w:rPr>
            <w:fldChar w:fldCharType="end"/>
          </w:r>
        </w:sdtContent>
      </w:sdt>
      <w:r w:rsidRPr="00143EDA">
        <w:rPr>
          <w:rFonts w:asciiTheme="minorHAnsi" w:hAnsiTheme="minorHAnsi" w:cstheme="minorHAnsi"/>
          <w:color w:val="000000" w:themeColor="text1"/>
          <w:sz w:val="24"/>
          <w:szCs w:val="24"/>
        </w:rPr>
        <w:t>.</w:t>
      </w:r>
    </w:p>
    <w:p w14:paraId="37D61887" w14:textId="03FAC34B" w:rsidR="002C2DFC"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El impacto en la salud va desde causar irregularidades menstruales y disminución de la ovulación, aumento de prolactina, que puede inhibir la ovulación, también está asociado a un riesgo dos veces mayor de infertilidad y de las complicaciones se describen la Infertilidad y mayor tasa de abortos espontáneos, resultados obstétricos adversos como parto prematuro y bajo peso al nacer, malformaciones congénitas en el feto si no se trata adecuadamente durante el embarazo.</w:t>
      </w:r>
    </w:p>
    <w:p w14:paraId="4622C3AD" w14:textId="77777777" w:rsidR="00143EDA" w:rsidRPr="00143EDA" w:rsidRDefault="00143EDA" w:rsidP="00143EDA">
      <w:pPr>
        <w:spacing w:line="276" w:lineRule="auto"/>
        <w:jc w:val="both"/>
        <w:rPr>
          <w:rFonts w:asciiTheme="minorHAnsi" w:hAnsiTheme="minorHAnsi" w:cstheme="minorHAnsi"/>
          <w:color w:val="000000" w:themeColor="text1"/>
          <w:sz w:val="24"/>
          <w:szCs w:val="24"/>
        </w:rPr>
      </w:pPr>
    </w:p>
    <w:p w14:paraId="2B77D5F3" w14:textId="77777777" w:rsidR="002C2DFC" w:rsidRDefault="002C2DFC" w:rsidP="00143EDA">
      <w:pPr>
        <w:spacing w:line="276" w:lineRule="auto"/>
        <w:ind w:left="360"/>
        <w:jc w:val="both"/>
        <w:rPr>
          <w:rFonts w:asciiTheme="minorHAnsi" w:hAnsiTheme="minorHAnsi" w:cstheme="minorHAnsi"/>
          <w:b/>
          <w:bCs/>
          <w:color w:val="000000" w:themeColor="text1"/>
          <w:sz w:val="24"/>
          <w:szCs w:val="24"/>
        </w:rPr>
      </w:pPr>
      <w:r w:rsidRPr="00143EDA">
        <w:rPr>
          <w:rFonts w:asciiTheme="minorHAnsi" w:hAnsiTheme="minorHAnsi" w:cstheme="minorHAnsi"/>
          <w:b/>
          <w:bCs/>
          <w:color w:val="000000" w:themeColor="text1"/>
          <w:sz w:val="24"/>
          <w:szCs w:val="24"/>
        </w:rPr>
        <w:t>Métodos Diagnostico</w:t>
      </w:r>
    </w:p>
    <w:p w14:paraId="03D4ED21" w14:textId="77777777" w:rsidR="00BC103B" w:rsidRPr="00143EDA" w:rsidRDefault="00BC103B" w:rsidP="00143EDA">
      <w:pPr>
        <w:spacing w:line="276" w:lineRule="auto"/>
        <w:ind w:left="360"/>
        <w:jc w:val="both"/>
        <w:rPr>
          <w:rFonts w:asciiTheme="minorHAnsi" w:hAnsiTheme="minorHAnsi" w:cstheme="minorHAnsi"/>
          <w:b/>
          <w:bCs/>
          <w:color w:val="000000" w:themeColor="text1"/>
          <w:sz w:val="24"/>
          <w:szCs w:val="24"/>
        </w:rPr>
      </w:pPr>
    </w:p>
    <w:p w14:paraId="2F579C20" w14:textId="0BEC4C63" w:rsidR="002C2DFC"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Se requiere la medición de TSH en mujeres en edad reproductiva antes del embarazo o durante el primer trimestre. Por ello el tratamiento con hormonas tiroideas para optimizar resultados reproductivos. Se debe determinar los valores de las hormonas tiroideas, triyodotironina (T3), tiroxina (T4) y tirotropina (TSH) </w:t>
      </w:r>
      <w:proofErr w:type="spellStart"/>
      <w:r w:rsidRPr="00143EDA">
        <w:rPr>
          <w:rFonts w:asciiTheme="minorHAnsi" w:hAnsiTheme="minorHAnsi" w:cstheme="minorHAnsi"/>
          <w:color w:val="000000" w:themeColor="text1"/>
          <w:sz w:val="24"/>
          <w:szCs w:val="24"/>
        </w:rPr>
        <w:t>Thyroid</w:t>
      </w:r>
      <w:proofErr w:type="spellEnd"/>
      <w:r w:rsidRPr="00143EDA">
        <w:rPr>
          <w:rFonts w:asciiTheme="minorHAnsi" w:hAnsiTheme="minorHAnsi" w:cstheme="minorHAnsi"/>
          <w:color w:val="000000" w:themeColor="text1"/>
          <w:sz w:val="24"/>
          <w:szCs w:val="24"/>
        </w:rPr>
        <w:t xml:space="preserve"> </w:t>
      </w:r>
      <w:proofErr w:type="spellStart"/>
      <w:r w:rsidRPr="00143EDA">
        <w:rPr>
          <w:rFonts w:asciiTheme="minorHAnsi" w:hAnsiTheme="minorHAnsi" w:cstheme="minorHAnsi"/>
          <w:color w:val="000000" w:themeColor="text1"/>
          <w:sz w:val="24"/>
          <w:szCs w:val="24"/>
        </w:rPr>
        <w:t>Stimulating</w:t>
      </w:r>
      <w:proofErr w:type="spellEnd"/>
      <w:r w:rsidRPr="00143EDA">
        <w:rPr>
          <w:rFonts w:asciiTheme="minorHAnsi" w:hAnsiTheme="minorHAnsi" w:cstheme="minorHAnsi"/>
          <w:color w:val="000000" w:themeColor="text1"/>
          <w:sz w:val="24"/>
          <w:szCs w:val="24"/>
        </w:rPr>
        <w:t xml:space="preserve"> Hormone</w:t>
      </w:r>
      <w:r w:rsidR="00BC103B">
        <w:rPr>
          <w:rFonts w:asciiTheme="minorHAnsi" w:hAnsiTheme="minorHAnsi" w:cstheme="minorHAnsi"/>
          <w:color w:val="000000" w:themeColor="text1"/>
          <w:sz w:val="24"/>
          <w:szCs w:val="24"/>
        </w:rPr>
        <w:t xml:space="preserve">. </w:t>
      </w:r>
      <w:r w:rsidRPr="00143EDA">
        <w:rPr>
          <w:rFonts w:asciiTheme="minorHAnsi" w:hAnsiTheme="minorHAnsi" w:cstheme="minorHAnsi"/>
          <w:color w:val="000000" w:themeColor="text1"/>
          <w:sz w:val="24"/>
          <w:szCs w:val="24"/>
        </w:rPr>
        <w:t xml:space="preserve">El primero usa valores específicos de hormonas por trimestre, primer trimestre TSH de 0.1 – 2.5 </w:t>
      </w:r>
      <w:proofErr w:type="spellStart"/>
      <w:r w:rsidRPr="00143EDA">
        <w:rPr>
          <w:rFonts w:asciiTheme="minorHAnsi" w:hAnsiTheme="minorHAnsi" w:cstheme="minorHAnsi"/>
          <w:color w:val="000000" w:themeColor="text1"/>
          <w:sz w:val="24"/>
          <w:szCs w:val="24"/>
        </w:rPr>
        <w:t>mlU</w:t>
      </w:r>
      <w:proofErr w:type="spellEnd"/>
      <w:r w:rsidRPr="00143EDA">
        <w:rPr>
          <w:rFonts w:asciiTheme="minorHAnsi" w:hAnsiTheme="minorHAnsi" w:cstheme="minorHAnsi"/>
          <w:color w:val="000000" w:themeColor="text1"/>
          <w:sz w:val="24"/>
          <w:szCs w:val="24"/>
        </w:rPr>
        <w:t xml:space="preserve">/L, T4 de 5 – 12 </w:t>
      </w:r>
      <w:proofErr w:type="spellStart"/>
      <w:r w:rsidRPr="00143EDA">
        <w:rPr>
          <w:rFonts w:asciiTheme="minorHAnsi" w:hAnsiTheme="minorHAnsi" w:cstheme="minorHAnsi"/>
          <w:color w:val="000000" w:themeColor="text1"/>
          <w:sz w:val="24"/>
          <w:szCs w:val="24"/>
        </w:rPr>
        <w:t>mcg</w:t>
      </w:r>
      <w:proofErr w:type="spellEnd"/>
      <w:r w:rsidRPr="00143EDA">
        <w:rPr>
          <w:rFonts w:asciiTheme="minorHAnsi" w:hAnsiTheme="minorHAnsi" w:cstheme="minorHAnsi"/>
          <w:color w:val="000000" w:themeColor="text1"/>
          <w:sz w:val="24"/>
          <w:szCs w:val="24"/>
        </w:rPr>
        <w:t xml:space="preserve">, segundo trimestre TSH de 0.2-3 </w:t>
      </w:r>
      <w:proofErr w:type="spellStart"/>
      <w:r w:rsidRPr="00143EDA">
        <w:rPr>
          <w:rFonts w:asciiTheme="minorHAnsi" w:hAnsiTheme="minorHAnsi" w:cstheme="minorHAnsi"/>
          <w:color w:val="000000" w:themeColor="text1"/>
          <w:sz w:val="24"/>
          <w:szCs w:val="24"/>
        </w:rPr>
        <w:t>mlU</w:t>
      </w:r>
      <w:proofErr w:type="spellEnd"/>
      <w:r w:rsidRPr="00143EDA">
        <w:rPr>
          <w:rFonts w:asciiTheme="minorHAnsi" w:hAnsiTheme="minorHAnsi" w:cstheme="minorHAnsi"/>
          <w:color w:val="000000" w:themeColor="text1"/>
          <w:sz w:val="24"/>
          <w:szCs w:val="24"/>
        </w:rPr>
        <w:t xml:space="preserve">/L y T4 7.5- 18 </w:t>
      </w:r>
      <w:proofErr w:type="spellStart"/>
      <w:proofErr w:type="gramStart"/>
      <w:r w:rsidRPr="00143EDA">
        <w:rPr>
          <w:rFonts w:asciiTheme="minorHAnsi" w:hAnsiTheme="minorHAnsi" w:cstheme="minorHAnsi"/>
          <w:color w:val="000000" w:themeColor="text1"/>
          <w:sz w:val="24"/>
          <w:szCs w:val="24"/>
        </w:rPr>
        <w:t>mcg</w:t>
      </w:r>
      <w:proofErr w:type="spellEnd"/>
      <w:r w:rsidRPr="00143EDA">
        <w:rPr>
          <w:rFonts w:asciiTheme="minorHAnsi" w:hAnsiTheme="minorHAnsi" w:cstheme="minorHAnsi"/>
          <w:color w:val="000000" w:themeColor="text1"/>
          <w:sz w:val="24"/>
          <w:szCs w:val="24"/>
        </w:rPr>
        <w:t xml:space="preserve"> ,</w:t>
      </w:r>
      <w:proofErr w:type="gramEnd"/>
      <w:r w:rsidRPr="00143EDA">
        <w:rPr>
          <w:rFonts w:asciiTheme="minorHAnsi" w:hAnsiTheme="minorHAnsi" w:cstheme="minorHAnsi"/>
          <w:color w:val="000000" w:themeColor="text1"/>
          <w:sz w:val="24"/>
          <w:szCs w:val="24"/>
        </w:rPr>
        <w:t xml:space="preserve"> tercer trimestre TSH de 0.3-3.3 </w:t>
      </w:r>
      <w:proofErr w:type="spellStart"/>
      <w:r w:rsidRPr="00143EDA">
        <w:rPr>
          <w:rFonts w:asciiTheme="minorHAnsi" w:hAnsiTheme="minorHAnsi" w:cstheme="minorHAnsi"/>
          <w:color w:val="000000" w:themeColor="text1"/>
          <w:sz w:val="24"/>
          <w:szCs w:val="24"/>
        </w:rPr>
        <w:t>mIU</w:t>
      </w:r>
      <w:proofErr w:type="spellEnd"/>
      <w:r w:rsidRPr="00143EDA">
        <w:rPr>
          <w:rFonts w:asciiTheme="minorHAnsi" w:hAnsiTheme="minorHAnsi" w:cstheme="minorHAnsi"/>
          <w:color w:val="000000" w:themeColor="text1"/>
          <w:sz w:val="24"/>
          <w:szCs w:val="24"/>
        </w:rPr>
        <w:t xml:space="preserve"> / L y T4 7.5 – 18 </w:t>
      </w:r>
      <w:proofErr w:type="spellStart"/>
      <w:r w:rsidRPr="00143EDA">
        <w:rPr>
          <w:rFonts w:asciiTheme="minorHAnsi" w:hAnsiTheme="minorHAnsi" w:cstheme="minorHAnsi"/>
          <w:color w:val="000000" w:themeColor="text1"/>
          <w:sz w:val="24"/>
          <w:szCs w:val="24"/>
        </w:rPr>
        <w:t>mcg</w:t>
      </w:r>
      <w:proofErr w:type="spellEnd"/>
      <w:r w:rsidRPr="00143EDA">
        <w:rPr>
          <w:rFonts w:asciiTheme="minorHAnsi" w:hAnsiTheme="minorHAnsi" w:cstheme="minorHAnsi"/>
          <w:color w:val="000000" w:themeColor="text1"/>
          <w:sz w:val="24"/>
          <w:szCs w:val="24"/>
        </w:rPr>
        <w:t xml:space="preserve">; mientras que el segundo usa un límite superior solamente con TSH igual o mayor de 2.5 </w:t>
      </w:r>
      <w:proofErr w:type="spellStart"/>
      <w:r w:rsidRPr="00143EDA">
        <w:rPr>
          <w:rFonts w:asciiTheme="minorHAnsi" w:hAnsiTheme="minorHAnsi" w:cstheme="minorHAnsi"/>
          <w:color w:val="000000" w:themeColor="text1"/>
          <w:sz w:val="24"/>
          <w:szCs w:val="24"/>
        </w:rPr>
        <w:t>mIU</w:t>
      </w:r>
      <w:proofErr w:type="spellEnd"/>
      <w:r w:rsidRPr="00143EDA">
        <w:rPr>
          <w:rFonts w:asciiTheme="minorHAnsi" w:hAnsiTheme="minorHAnsi" w:cstheme="minorHAnsi"/>
          <w:color w:val="000000" w:themeColor="text1"/>
          <w:sz w:val="24"/>
          <w:szCs w:val="24"/>
        </w:rPr>
        <w:t xml:space="preserve"> / L ,durante el primer trimestre e igual o mayor de 3.0 </w:t>
      </w:r>
      <w:proofErr w:type="spellStart"/>
      <w:r w:rsidRPr="00143EDA">
        <w:rPr>
          <w:rFonts w:asciiTheme="minorHAnsi" w:hAnsiTheme="minorHAnsi" w:cstheme="minorHAnsi"/>
          <w:color w:val="000000" w:themeColor="text1"/>
          <w:sz w:val="24"/>
          <w:szCs w:val="24"/>
        </w:rPr>
        <w:t>mIU</w:t>
      </w:r>
      <w:proofErr w:type="spellEnd"/>
      <w:r w:rsidRPr="00143EDA">
        <w:rPr>
          <w:rFonts w:asciiTheme="minorHAnsi" w:hAnsiTheme="minorHAnsi" w:cstheme="minorHAnsi"/>
          <w:color w:val="000000" w:themeColor="text1"/>
          <w:sz w:val="24"/>
          <w:szCs w:val="24"/>
        </w:rPr>
        <w:t xml:space="preserve"> / L durante el segundo y tercer trimestre. Independientemente de qué criterio se utilice, el valor de corte límite superior de la TSH influye fuertemente en la prevalencia del hipotiroidismo </w:t>
      </w:r>
      <w:sdt>
        <w:sdtPr>
          <w:rPr>
            <w:rFonts w:asciiTheme="minorHAnsi" w:hAnsiTheme="minorHAnsi" w:cstheme="minorHAnsi"/>
            <w:color w:val="000000" w:themeColor="text1"/>
            <w:sz w:val="24"/>
            <w:szCs w:val="24"/>
          </w:rPr>
          <w:id w:val="1315843370"/>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CITATION Igl20 \l 12298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(27)</w:t>
          </w:r>
          <w:r w:rsidRPr="00143EDA">
            <w:rPr>
              <w:rFonts w:asciiTheme="minorHAnsi" w:hAnsiTheme="minorHAnsi" w:cstheme="minorHAnsi"/>
              <w:color w:val="000000" w:themeColor="text1"/>
              <w:sz w:val="24"/>
              <w:szCs w:val="24"/>
            </w:rPr>
            <w:fldChar w:fldCharType="end"/>
          </w:r>
        </w:sdtContent>
      </w:sdt>
      <w:r w:rsidRPr="00143EDA">
        <w:rPr>
          <w:rFonts w:asciiTheme="minorHAnsi" w:hAnsiTheme="minorHAnsi" w:cstheme="minorHAnsi"/>
          <w:color w:val="000000" w:themeColor="text1"/>
          <w:sz w:val="24"/>
          <w:szCs w:val="24"/>
        </w:rPr>
        <w:t>.</w:t>
      </w:r>
    </w:p>
    <w:p w14:paraId="6D290764"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511B8080"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31F8EF4E" w14:textId="77777777" w:rsidR="00E709A0" w:rsidRPr="00143EDA" w:rsidRDefault="00E709A0" w:rsidP="00143EDA">
      <w:pPr>
        <w:spacing w:line="276" w:lineRule="auto"/>
        <w:jc w:val="both"/>
        <w:rPr>
          <w:rFonts w:asciiTheme="minorHAnsi" w:hAnsiTheme="minorHAnsi" w:cstheme="minorHAnsi"/>
          <w:color w:val="000000" w:themeColor="text1"/>
          <w:sz w:val="24"/>
          <w:szCs w:val="24"/>
        </w:rPr>
      </w:pPr>
    </w:p>
    <w:p w14:paraId="6B45EA89" w14:textId="3918C74A" w:rsidR="00143EDA"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Se sabe desde hace ya tiempo, que la disfunción tiroidea durante el embarazo repercute negativamente en la salud materno-infantil y que es un problema que afecta a un número significativo de mujeres en edad fértil.</w:t>
      </w:r>
    </w:p>
    <w:p w14:paraId="06A22EFD" w14:textId="77777777" w:rsidR="00143EDA" w:rsidRDefault="00143EDA" w:rsidP="00143EDA">
      <w:pPr>
        <w:spacing w:line="276" w:lineRule="auto"/>
        <w:jc w:val="both"/>
        <w:rPr>
          <w:rFonts w:asciiTheme="minorHAnsi" w:hAnsiTheme="minorHAnsi" w:cstheme="minorHAnsi"/>
          <w:color w:val="000000" w:themeColor="text1"/>
          <w:sz w:val="24"/>
          <w:szCs w:val="24"/>
        </w:rPr>
      </w:pPr>
    </w:p>
    <w:p w14:paraId="4F0D5117" w14:textId="36015C5A" w:rsidR="002C2DFC"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 Se estima que el 0,5-1,5 % de las mujeres ya recibían tratamiento por hipotiroidismo antes de la gestación; que el 2-6 % de las gestantes tienen hipotiroidismo subclínico (definido como hormona estimulante del tiroides (TSH) &gt; valor de referencia para edad gestacional con T4 libre (T4L) o T4 total (T4t) normal; que en el 0,2-0,5 % se encuentra hipotiroidismo franco (TSH alta con T4L baja o bien solo TSH &gt; de 10); que un porcentaje variable tiene </w:t>
      </w:r>
      <w:proofErr w:type="spellStart"/>
      <w:r w:rsidRPr="00143EDA">
        <w:rPr>
          <w:rFonts w:asciiTheme="minorHAnsi" w:hAnsiTheme="minorHAnsi" w:cstheme="minorHAnsi"/>
          <w:color w:val="000000" w:themeColor="text1"/>
          <w:sz w:val="24"/>
          <w:szCs w:val="24"/>
        </w:rPr>
        <w:t>hipotiroxinemia</w:t>
      </w:r>
      <w:proofErr w:type="spellEnd"/>
      <w:r w:rsidRPr="00143EDA">
        <w:rPr>
          <w:rFonts w:asciiTheme="minorHAnsi" w:hAnsiTheme="minorHAnsi" w:cstheme="minorHAnsi"/>
          <w:color w:val="000000" w:themeColor="text1"/>
          <w:sz w:val="24"/>
          <w:szCs w:val="24"/>
        </w:rPr>
        <w:t xml:space="preserve"> aislada (T4L &lt; p 2,5, con TSH normal) y el hipertiroidismo se encuentra en el 0,1-0,4% de los casos. Además, en el 1ª trimestre entre el 6- 15 % de las gestantes tienen ácidos antitiroideos, bien </w:t>
      </w:r>
      <w:proofErr w:type="spellStart"/>
      <w:r w:rsidRPr="00143EDA">
        <w:rPr>
          <w:rFonts w:asciiTheme="minorHAnsi" w:hAnsiTheme="minorHAnsi" w:cstheme="minorHAnsi"/>
          <w:color w:val="000000" w:themeColor="text1"/>
          <w:sz w:val="24"/>
          <w:szCs w:val="24"/>
        </w:rPr>
        <w:t>antiperoxidasa</w:t>
      </w:r>
      <w:proofErr w:type="spellEnd"/>
      <w:r w:rsidRPr="00143EDA">
        <w:rPr>
          <w:rFonts w:asciiTheme="minorHAnsi" w:hAnsiTheme="minorHAnsi" w:cstheme="minorHAnsi"/>
          <w:color w:val="000000" w:themeColor="text1"/>
          <w:sz w:val="24"/>
          <w:szCs w:val="24"/>
        </w:rPr>
        <w:t xml:space="preserve"> (Ac </w:t>
      </w:r>
      <w:proofErr w:type="spellStart"/>
      <w:r w:rsidRPr="00143EDA">
        <w:rPr>
          <w:rFonts w:asciiTheme="minorHAnsi" w:hAnsiTheme="minorHAnsi" w:cstheme="minorHAnsi"/>
          <w:color w:val="000000" w:themeColor="text1"/>
          <w:sz w:val="24"/>
          <w:szCs w:val="24"/>
        </w:rPr>
        <w:t>antiTPO</w:t>
      </w:r>
      <w:proofErr w:type="spellEnd"/>
      <w:r w:rsidRPr="00143EDA">
        <w:rPr>
          <w:rFonts w:asciiTheme="minorHAnsi" w:hAnsiTheme="minorHAnsi" w:cstheme="minorHAnsi"/>
          <w:color w:val="000000" w:themeColor="text1"/>
          <w:sz w:val="24"/>
          <w:szCs w:val="24"/>
        </w:rPr>
        <w:t xml:space="preserve">) o bien </w:t>
      </w:r>
      <w:proofErr w:type="spellStart"/>
      <w:r w:rsidRPr="00143EDA">
        <w:rPr>
          <w:rFonts w:asciiTheme="minorHAnsi" w:hAnsiTheme="minorHAnsi" w:cstheme="minorHAnsi"/>
          <w:color w:val="000000" w:themeColor="text1"/>
          <w:sz w:val="24"/>
          <w:szCs w:val="24"/>
        </w:rPr>
        <w:t>antitiroglobulina</w:t>
      </w:r>
      <w:proofErr w:type="spellEnd"/>
      <w:r w:rsidRPr="00143EDA">
        <w:rPr>
          <w:rFonts w:asciiTheme="minorHAnsi" w:hAnsiTheme="minorHAnsi" w:cstheme="minorHAnsi"/>
          <w:color w:val="000000" w:themeColor="text1"/>
          <w:sz w:val="24"/>
          <w:szCs w:val="24"/>
        </w:rPr>
        <w:t xml:space="preserve"> (Ac </w:t>
      </w:r>
      <w:proofErr w:type="spellStart"/>
      <w:r w:rsidRPr="00143EDA">
        <w:rPr>
          <w:rFonts w:asciiTheme="minorHAnsi" w:hAnsiTheme="minorHAnsi" w:cstheme="minorHAnsi"/>
          <w:color w:val="000000" w:themeColor="text1"/>
          <w:sz w:val="24"/>
          <w:szCs w:val="24"/>
        </w:rPr>
        <w:t>antiTg</w:t>
      </w:r>
      <w:proofErr w:type="spellEnd"/>
      <w:r w:rsidRPr="00143EDA">
        <w:rPr>
          <w:rFonts w:asciiTheme="minorHAnsi" w:hAnsiTheme="minorHAnsi" w:cstheme="minorHAnsi"/>
          <w:color w:val="000000" w:themeColor="text1"/>
          <w:sz w:val="24"/>
          <w:szCs w:val="24"/>
        </w:rPr>
        <w:t>). Por tanto, entre el 10-20 % de las gestantes presentan algún tipo de disfunción tiroidea</w:t>
      </w:r>
      <w:r w:rsidR="00143EDA">
        <w:rPr>
          <w:rFonts w:asciiTheme="minorHAnsi" w:hAnsiTheme="minorHAnsi" w:cstheme="minorHAnsi"/>
          <w:color w:val="000000" w:themeColor="text1"/>
          <w:sz w:val="24"/>
          <w:szCs w:val="24"/>
        </w:rPr>
        <w:t xml:space="preserve"> </w:t>
      </w:r>
      <w:sdt>
        <w:sdtPr>
          <w:rPr>
            <w:rFonts w:asciiTheme="minorHAnsi" w:hAnsiTheme="minorHAnsi" w:cstheme="minorHAnsi"/>
            <w:color w:val="000000" w:themeColor="text1"/>
            <w:sz w:val="24"/>
            <w:szCs w:val="24"/>
          </w:rPr>
          <w:id w:val="479047094"/>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 CITATION Men21 \l 12298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(28)</w:t>
          </w:r>
          <w:r w:rsidRPr="00143EDA">
            <w:rPr>
              <w:rFonts w:asciiTheme="minorHAnsi" w:hAnsiTheme="minorHAnsi" w:cstheme="minorHAnsi"/>
              <w:color w:val="000000" w:themeColor="text1"/>
              <w:sz w:val="24"/>
              <w:szCs w:val="24"/>
            </w:rPr>
            <w:fldChar w:fldCharType="end"/>
          </w:r>
        </w:sdtContent>
      </w:sdt>
      <w:r w:rsidR="00143EDA">
        <w:rPr>
          <w:rFonts w:asciiTheme="minorHAnsi" w:hAnsiTheme="minorHAnsi" w:cstheme="minorHAnsi"/>
          <w:color w:val="000000" w:themeColor="text1"/>
          <w:sz w:val="24"/>
          <w:szCs w:val="24"/>
        </w:rPr>
        <w:t>.</w:t>
      </w:r>
    </w:p>
    <w:p w14:paraId="612D0DEC" w14:textId="77777777" w:rsidR="00BC103B" w:rsidRDefault="00BC103B" w:rsidP="00143EDA">
      <w:pPr>
        <w:spacing w:line="276" w:lineRule="auto"/>
        <w:jc w:val="both"/>
        <w:rPr>
          <w:rFonts w:asciiTheme="minorHAnsi" w:hAnsiTheme="minorHAnsi" w:cstheme="minorHAnsi"/>
          <w:color w:val="000000" w:themeColor="text1"/>
          <w:sz w:val="24"/>
          <w:szCs w:val="24"/>
        </w:rPr>
      </w:pPr>
    </w:p>
    <w:p w14:paraId="4CECB48C" w14:textId="673D6168" w:rsidR="002C2DFC" w:rsidRPr="00143EDA"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La presencia de anticuerpos antitiroideos se ha relacionado con el desarrollo de complicaciones como el aborto y el parto pretérmino. A su vez, las pacientes eutiroideas con anticuerpos positivos pueden desarrollar hipotiroidismo debido al estrés de la gestación. En las pacientes hipotiroideas se ha observado mayor ocurrencia de malformaciones </w:t>
      </w:r>
      <w:sdt>
        <w:sdtPr>
          <w:rPr>
            <w:rFonts w:asciiTheme="minorHAnsi" w:hAnsiTheme="minorHAnsi" w:cstheme="minorHAnsi"/>
            <w:color w:val="000000" w:themeColor="text1"/>
            <w:sz w:val="24"/>
            <w:szCs w:val="24"/>
          </w:rPr>
          <w:id w:val="1021046314"/>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 CITATION Mac19 \l 12298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(29)</w:t>
          </w:r>
          <w:r w:rsidRPr="00143EDA">
            <w:rPr>
              <w:rFonts w:asciiTheme="minorHAnsi" w:hAnsiTheme="minorHAnsi" w:cstheme="minorHAnsi"/>
              <w:color w:val="000000" w:themeColor="text1"/>
              <w:sz w:val="24"/>
              <w:szCs w:val="24"/>
            </w:rPr>
            <w:fldChar w:fldCharType="end"/>
          </w:r>
        </w:sdtContent>
      </w:sdt>
      <w:r w:rsidR="00E709A0">
        <w:rPr>
          <w:rFonts w:asciiTheme="minorHAnsi" w:hAnsiTheme="minorHAnsi" w:cstheme="minorHAnsi"/>
          <w:color w:val="000000" w:themeColor="text1"/>
          <w:sz w:val="24"/>
          <w:szCs w:val="24"/>
        </w:rPr>
        <w:t>.</w:t>
      </w:r>
    </w:p>
    <w:p w14:paraId="0AE01208" w14:textId="623B64CC" w:rsidR="002C2DFC" w:rsidRPr="00143EDA" w:rsidRDefault="002C2DFC" w:rsidP="00143EDA">
      <w:pPr>
        <w:spacing w:line="276" w:lineRule="auto"/>
        <w:jc w:val="both"/>
        <w:rPr>
          <w:rFonts w:asciiTheme="minorHAnsi" w:hAnsiTheme="minorHAnsi" w:cstheme="minorHAnsi"/>
          <w:b/>
          <w:bCs/>
          <w:color w:val="000000" w:themeColor="text1"/>
          <w:sz w:val="24"/>
          <w:szCs w:val="24"/>
        </w:rPr>
      </w:pPr>
      <w:r w:rsidRPr="00143EDA">
        <w:rPr>
          <w:rFonts w:asciiTheme="minorHAnsi" w:hAnsiTheme="minorHAnsi" w:cstheme="minorHAnsi"/>
          <w:noProof/>
          <w:sz w:val="24"/>
          <w:szCs w:val="24"/>
        </w:rPr>
        <w:drawing>
          <wp:anchor distT="0" distB="0" distL="0" distR="0" simplePos="0" relativeHeight="251682816" behindDoc="1" locked="0" layoutInCell="1" allowOverlap="1" wp14:anchorId="1B96C6EB" wp14:editId="089AB825">
            <wp:simplePos x="0" y="0"/>
            <wp:positionH relativeFrom="margin">
              <wp:align>right</wp:align>
            </wp:positionH>
            <wp:positionV relativeFrom="page">
              <wp:posOffset>1005840</wp:posOffset>
            </wp:positionV>
            <wp:extent cx="5958840" cy="9493885"/>
            <wp:effectExtent l="0" t="0" r="3810" b="0"/>
            <wp:wrapNone/>
            <wp:docPr id="9" name="Imagen 9"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0" cstate="print"/>
                    <a:stretch>
                      <a:fillRect/>
                    </a:stretch>
                  </pic:blipFill>
                  <pic:spPr>
                    <a:xfrm>
                      <a:off x="0" y="0"/>
                      <a:ext cx="5958840" cy="9493885"/>
                    </a:xfrm>
                    <a:prstGeom prst="rect">
                      <a:avLst/>
                    </a:prstGeom>
                  </pic:spPr>
                </pic:pic>
              </a:graphicData>
            </a:graphic>
            <wp14:sizeRelH relativeFrom="margin">
              <wp14:pctWidth>0</wp14:pctWidth>
            </wp14:sizeRelH>
            <wp14:sizeRelV relativeFrom="margin">
              <wp14:pctHeight>0</wp14:pctHeight>
            </wp14:sizeRelV>
          </wp:anchor>
        </w:drawing>
      </w:r>
    </w:p>
    <w:p w14:paraId="4BEC5679" w14:textId="0DD6F776" w:rsidR="002C2DFC" w:rsidRPr="00143EDA" w:rsidRDefault="002C2DFC" w:rsidP="00143EDA">
      <w:pPr>
        <w:spacing w:line="276" w:lineRule="auto"/>
        <w:jc w:val="both"/>
        <w:rPr>
          <w:rFonts w:asciiTheme="minorHAnsi" w:hAnsiTheme="minorHAnsi" w:cstheme="minorHAnsi"/>
          <w:b/>
          <w:bCs/>
          <w:color w:val="000000" w:themeColor="text1"/>
          <w:sz w:val="24"/>
          <w:szCs w:val="24"/>
        </w:rPr>
      </w:pPr>
      <w:r w:rsidRPr="00143EDA">
        <w:rPr>
          <w:rFonts w:asciiTheme="minorHAnsi" w:hAnsiTheme="minorHAnsi" w:cstheme="minorHAnsi"/>
          <w:b/>
          <w:bCs/>
          <w:color w:val="000000" w:themeColor="text1"/>
          <w:sz w:val="24"/>
          <w:szCs w:val="24"/>
        </w:rPr>
        <w:t xml:space="preserve">Flujograma sobre métodos diagnósticos </w:t>
      </w:r>
    </w:p>
    <w:p w14:paraId="44BE42CA" w14:textId="77777777" w:rsidR="002C2DFC" w:rsidRPr="00143EDA"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noProof/>
          <w:color w:val="000000" w:themeColor="text1"/>
          <w:sz w:val="24"/>
          <w:szCs w:val="24"/>
          <w:shd w:val="clear" w:color="auto" w:fill="C6D9F1" w:themeFill="text2" w:themeFillTint="33"/>
        </w:rPr>
        <w:drawing>
          <wp:inline distT="0" distB="0" distL="0" distR="0" wp14:anchorId="0C112CEE" wp14:editId="6F2AFA1E">
            <wp:extent cx="5463540" cy="2270760"/>
            <wp:effectExtent l="38100" t="0" r="80010" b="0"/>
            <wp:docPr id="875100127"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2150943" w14:textId="16F14FDE" w:rsidR="002C2DFC"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Fuente: varios autores </w:t>
      </w:r>
      <w:sdt>
        <w:sdtPr>
          <w:rPr>
            <w:rFonts w:asciiTheme="minorHAnsi" w:hAnsiTheme="minorHAnsi" w:cstheme="minorHAnsi"/>
            <w:color w:val="000000" w:themeColor="text1"/>
            <w:sz w:val="24"/>
            <w:szCs w:val="24"/>
          </w:rPr>
          <w:id w:val="-100263912"/>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 CITATION Gar19 \l 3082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(15)</w:t>
          </w:r>
          <w:r w:rsidRPr="00143EDA">
            <w:rPr>
              <w:rFonts w:asciiTheme="minorHAnsi" w:hAnsiTheme="minorHAnsi" w:cstheme="minorHAnsi"/>
              <w:color w:val="000000" w:themeColor="text1"/>
              <w:sz w:val="24"/>
              <w:szCs w:val="24"/>
            </w:rPr>
            <w:fldChar w:fldCharType="end"/>
          </w:r>
        </w:sdtContent>
      </w:sdt>
      <w:sdt>
        <w:sdtPr>
          <w:rPr>
            <w:rFonts w:asciiTheme="minorHAnsi" w:hAnsiTheme="minorHAnsi" w:cstheme="minorHAnsi"/>
            <w:color w:val="000000" w:themeColor="text1"/>
            <w:sz w:val="24"/>
            <w:szCs w:val="24"/>
          </w:rPr>
          <w:id w:val="-1542118912"/>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 CITATION Rad241 \l 3082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 xml:space="preserve"> (1)</w:t>
          </w:r>
          <w:r w:rsidRPr="00143EDA">
            <w:rPr>
              <w:rFonts w:asciiTheme="minorHAnsi" w:hAnsiTheme="minorHAnsi" w:cstheme="minorHAnsi"/>
              <w:color w:val="000000" w:themeColor="text1"/>
              <w:sz w:val="24"/>
              <w:szCs w:val="24"/>
            </w:rPr>
            <w:fldChar w:fldCharType="end"/>
          </w:r>
        </w:sdtContent>
      </w:sdt>
      <w:sdt>
        <w:sdtPr>
          <w:rPr>
            <w:rFonts w:asciiTheme="minorHAnsi" w:hAnsiTheme="minorHAnsi" w:cstheme="minorHAnsi"/>
            <w:color w:val="000000" w:themeColor="text1"/>
            <w:sz w:val="24"/>
            <w:szCs w:val="24"/>
          </w:rPr>
          <w:id w:val="151036383"/>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 CITATION Nuñ16 \l 3082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 xml:space="preserve"> (16)</w:t>
          </w:r>
          <w:r w:rsidRPr="00143EDA">
            <w:rPr>
              <w:rFonts w:asciiTheme="minorHAnsi" w:hAnsiTheme="minorHAnsi" w:cstheme="minorHAnsi"/>
              <w:color w:val="000000" w:themeColor="text1"/>
              <w:sz w:val="24"/>
              <w:szCs w:val="24"/>
            </w:rPr>
            <w:fldChar w:fldCharType="end"/>
          </w:r>
        </w:sdtContent>
      </w:sdt>
    </w:p>
    <w:p w14:paraId="68F72972" w14:textId="6CFDF931" w:rsidR="00772839" w:rsidRDefault="00772839"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noProof/>
          <w:sz w:val="24"/>
          <w:szCs w:val="24"/>
        </w:rPr>
        <w:drawing>
          <wp:anchor distT="0" distB="0" distL="0" distR="0" simplePos="0" relativeHeight="251696128" behindDoc="1" locked="0" layoutInCell="1" allowOverlap="1" wp14:anchorId="664DB387" wp14:editId="4DED1D15">
            <wp:simplePos x="0" y="0"/>
            <wp:positionH relativeFrom="margin">
              <wp:posOffset>0</wp:posOffset>
            </wp:positionH>
            <wp:positionV relativeFrom="page">
              <wp:posOffset>1002665</wp:posOffset>
            </wp:positionV>
            <wp:extent cx="5958840" cy="9493885"/>
            <wp:effectExtent l="0" t="0" r="3810" b="0"/>
            <wp:wrapNone/>
            <wp:docPr id="1590698801" name="Imagen 159069880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0" cstate="print"/>
                    <a:stretch>
                      <a:fillRect/>
                    </a:stretch>
                  </pic:blipFill>
                  <pic:spPr>
                    <a:xfrm>
                      <a:off x="0" y="0"/>
                      <a:ext cx="5958840" cy="9493885"/>
                    </a:xfrm>
                    <a:prstGeom prst="rect">
                      <a:avLst/>
                    </a:prstGeom>
                  </pic:spPr>
                </pic:pic>
              </a:graphicData>
            </a:graphic>
            <wp14:sizeRelH relativeFrom="margin">
              <wp14:pctWidth>0</wp14:pctWidth>
            </wp14:sizeRelH>
            <wp14:sizeRelV relativeFrom="margin">
              <wp14:pctHeight>0</wp14:pctHeight>
            </wp14:sizeRelV>
          </wp:anchor>
        </w:drawing>
      </w:r>
    </w:p>
    <w:p w14:paraId="0B4D6C4A" w14:textId="40D29050" w:rsidR="002C2DFC"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Los métodos diagnósticos efectivos para el hipotiroidismo en mujeres en edad fértil incluyen la medición de TSH y T4 libre, que son fundamentales para identificar la condición. La evaluación de anticuerpos antitiroideos y estudios de imagen como ecografías y gammagrafías complementan el diagnóstico. Un enfoque escalonado permite una identificación precisa y oportuna del hipotiroidismo.</w:t>
      </w:r>
    </w:p>
    <w:p w14:paraId="0EBF106D"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563E65A7"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39E79771"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7AB396FD"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616719BA"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730ECD99" w14:textId="7E232608" w:rsidR="00143EDA" w:rsidRPr="00143EDA" w:rsidRDefault="00E709A0"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noProof/>
          <w:sz w:val="24"/>
          <w:szCs w:val="24"/>
        </w:rPr>
        <w:lastRenderedPageBreak/>
        <w:drawing>
          <wp:anchor distT="0" distB="0" distL="0" distR="0" simplePos="0" relativeHeight="251689984" behindDoc="1" locked="0" layoutInCell="1" allowOverlap="1" wp14:anchorId="5FA25E3F" wp14:editId="2576F1C0">
            <wp:simplePos x="0" y="0"/>
            <wp:positionH relativeFrom="margin">
              <wp:align>right</wp:align>
            </wp:positionH>
            <wp:positionV relativeFrom="page">
              <wp:posOffset>1005841</wp:posOffset>
            </wp:positionV>
            <wp:extent cx="5958840" cy="9265920"/>
            <wp:effectExtent l="0" t="0" r="3810" b="0"/>
            <wp:wrapNone/>
            <wp:docPr id="11" name="Imagen 1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0" cstate="print"/>
                    <a:stretch>
                      <a:fillRect/>
                    </a:stretch>
                  </pic:blipFill>
                  <pic:spPr>
                    <a:xfrm>
                      <a:off x="0" y="0"/>
                      <a:ext cx="5958840" cy="9265920"/>
                    </a:xfrm>
                    <a:prstGeom prst="rect">
                      <a:avLst/>
                    </a:prstGeom>
                  </pic:spPr>
                </pic:pic>
              </a:graphicData>
            </a:graphic>
            <wp14:sizeRelH relativeFrom="margin">
              <wp14:pctWidth>0</wp14:pctWidth>
            </wp14:sizeRelH>
            <wp14:sizeRelV relativeFrom="margin">
              <wp14:pctHeight>0</wp14:pctHeight>
            </wp14:sizeRelV>
          </wp:anchor>
        </w:drawing>
      </w:r>
    </w:p>
    <w:p w14:paraId="34401100" w14:textId="7FFBB7F2" w:rsidR="002C2DFC" w:rsidRPr="00143EDA" w:rsidRDefault="002C2DFC" w:rsidP="00143EDA">
      <w:pPr>
        <w:spacing w:line="276" w:lineRule="auto"/>
        <w:jc w:val="both"/>
        <w:rPr>
          <w:rFonts w:asciiTheme="minorHAnsi" w:hAnsiTheme="minorHAnsi" w:cstheme="minorHAnsi"/>
          <w:b/>
          <w:bCs/>
          <w:color w:val="000000" w:themeColor="text1"/>
          <w:sz w:val="24"/>
          <w:szCs w:val="24"/>
        </w:rPr>
      </w:pPr>
      <w:r w:rsidRPr="00143EDA">
        <w:rPr>
          <w:rFonts w:asciiTheme="minorHAnsi" w:hAnsiTheme="minorHAnsi" w:cstheme="minorHAnsi"/>
          <w:b/>
          <w:bCs/>
          <w:color w:val="000000" w:themeColor="text1"/>
          <w:sz w:val="24"/>
          <w:szCs w:val="24"/>
        </w:rPr>
        <w:t>Tratamiento:</w:t>
      </w:r>
    </w:p>
    <w:p w14:paraId="18D8F6BB" w14:textId="77777777" w:rsidR="002C2DFC" w:rsidRPr="00143EDA" w:rsidRDefault="002C2DFC" w:rsidP="00143EDA">
      <w:pPr>
        <w:spacing w:line="276" w:lineRule="auto"/>
        <w:jc w:val="both"/>
        <w:rPr>
          <w:rFonts w:asciiTheme="minorHAnsi" w:hAnsiTheme="minorHAnsi" w:cstheme="minorHAnsi"/>
          <w:b/>
          <w:bCs/>
          <w:color w:val="000000" w:themeColor="text1"/>
          <w:sz w:val="24"/>
          <w:szCs w:val="24"/>
        </w:rPr>
      </w:pPr>
      <w:r w:rsidRPr="00143EDA">
        <w:rPr>
          <w:rFonts w:asciiTheme="minorHAnsi" w:hAnsiTheme="minorHAnsi" w:cstheme="minorHAnsi"/>
          <w:color w:val="000000" w:themeColor="text1"/>
          <w:sz w:val="24"/>
          <w:szCs w:val="24"/>
        </w:rPr>
        <w:t xml:space="preserve">Hipotiroidismo subclínico: frecuencia de instauración de tratamiento sustitutivo, motivos de inicio, dosis y duración, en la población mayor de 14 años, debería ser la decisión de tratar a los pactes de riesgo, pero con frecuencia se cronifica un trastorno analítico instaurando tratamientos excesivamente prolongados sin intentos de retirada. Descuidando la anamnesis y la exploración </w:t>
      </w:r>
      <w:sdt>
        <w:sdtPr>
          <w:rPr>
            <w:rFonts w:asciiTheme="minorHAnsi" w:hAnsiTheme="minorHAnsi" w:cstheme="minorHAnsi"/>
            <w:color w:val="000000" w:themeColor="text1"/>
            <w:sz w:val="24"/>
            <w:szCs w:val="24"/>
          </w:rPr>
          <w:id w:val="1094432765"/>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 CITATION Gar19 \l 12298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(15)</w:t>
          </w:r>
          <w:r w:rsidRPr="00143EDA">
            <w:rPr>
              <w:rFonts w:asciiTheme="minorHAnsi" w:hAnsiTheme="minorHAnsi" w:cstheme="minorHAnsi"/>
              <w:color w:val="000000" w:themeColor="text1"/>
              <w:sz w:val="24"/>
              <w:szCs w:val="24"/>
            </w:rPr>
            <w:fldChar w:fldCharType="end"/>
          </w:r>
        </w:sdtContent>
      </w:sdt>
      <w:r w:rsidRPr="00143EDA">
        <w:rPr>
          <w:rFonts w:asciiTheme="minorHAnsi" w:hAnsiTheme="minorHAnsi" w:cstheme="minorHAnsi"/>
          <w:color w:val="000000" w:themeColor="text1"/>
          <w:sz w:val="24"/>
          <w:szCs w:val="24"/>
        </w:rPr>
        <w:t>.</w:t>
      </w:r>
    </w:p>
    <w:p w14:paraId="567E3395" w14:textId="77777777" w:rsidR="002C2DFC" w:rsidRPr="00143EDA"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Como se ha mencionado la prevalencia de hipotiroidismo subclínico en mujeres infértiles se ha reportado con rangos desde 0,9 hasta 40 %. En este contexto el tratamiento con hormona tiroidea disminuye el riesgo de aborto y parto pretérmino en mujeres con hipotiroidismo, hipotiroidismo subclínico y autoinmunidad tiroidea </w:t>
      </w:r>
      <w:sdt>
        <w:sdtPr>
          <w:rPr>
            <w:rFonts w:asciiTheme="minorHAnsi" w:hAnsiTheme="minorHAnsi" w:cstheme="minorHAnsi"/>
            <w:color w:val="000000" w:themeColor="text1"/>
            <w:sz w:val="24"/>
            <w:szCs w:val="24"/>
          </w:rPr>
          <w:id w:val="1773819281"/>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 CITATION Val20 \l 12298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(30)</w:t>
          </w:r>
          <w:r w:rsidRPr="00143EDA">
            <w:rPr>
              <w:rFonts w:asciiTheme="minorHAnsi" w:hAnsiTheme="minorHAnsi" w:cstheme="minorHAnsi"/>
              <w:color w:val="000000" w:themeColor="text1"/>
              <w:sz w:val="24"/>
              <w:szCs w:val="24"/>
            </w:rPr>
            <w:fldChar w:fldCharType="end"/>
          </w:r>
        </w:sdtContent>
      </w:sdt>
      <w:r w:rsidRPr="00143EDA">
        <w:rPr>
          <w:rFonts w:asciiTheme="minorHAnsi" w:hAnsiTheme="minorHAnsi" w:cstheme="minorHAnsi"/>
          <w:color w:val="000000" w:themeColor="text1"/>
          <w:sz w:val="24"/>
          <w:szCs w:val="24"/>
        </w:rPr>
        <w:t>.</w:t>
      </w:r>
    </w:p>
    <w:p w14:paraId="428DB831" w14:textId="77777777" w:rsidR="002C2DFC"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El   protocolo con levotiroxina busca normalizar los niveles hormonales y minimizar los riesgos asociados al hipotiroidismo tanto para la madre como para el feto, garantizando así un manejo adecuado durante la gestación y el período postparto. Además, asegurar una ingesta adecuada de yodo (150 </w:t>
      </w:r>
      <w:proofErr w:type="spellStart"/>
      <w:r w:rsidRPr="00143EDA">
        <w:rPr>
          <w:rFonts w:asciiTheme="minorHAnsi" w:hAnsiTheme="minorHAnsi" w:cstheme="minorHAnsi"/>
          <w:color w:val="000000" w:themeColor="text1"/>
          <w:sz w:val="24"/>
          <w:szCs w:val="24"/>
        </w:rPr>
        <w:t>mcg</w:t>
      </w:r>
      <w:proofErr w:type="spellEnd"/>
      <w:r w:rsidRPr="00143EDA">
        <w:rPr>
          <w:rFonts w:asciiTheme="minorHAnsi" w:hAnsiTheme="minorHAnsi" w:cstheme="minorHAnsi"/>
          <w:color w:val="000000" w:themeColor="text1"/>
          <w:sz w:val="24"/>
          <w:szCs w:val="24"/>
        </w:rPr>
        <w:t xml:space="preserve">/día antes del embarazo y 250 </w:t>
      </w:r>
      <w:proofErr w:type="spellStart"/>
      <w:r w:rsidRPr="00143EDA">
        <w:rPr>
          <w:rFonts w:asciiTheme="minorHAnsi" w:hAnsiTheme="minorHAnsi" w:cstheme="minorHAnsi"/>
          <w:color w:val="000000" w:themeColor="text1"/>
          <w:sz w:val="24"/>
          <w:szCs w:val="24"/>
        </w:rPr>
        <w:t>mcg</w:t>
      </w:r>
      <w:proofErr w:type="spellEnd"/>
      <w:r w:rsidRPr="00143EDA">
        <w:rPr>
          <w:rFonts w:asciiTheme="minorHAnsi" w:hAnsiTheme="minorHAnsi" w:cstheme="minorHAnsi"/>
          <w:color w:val="000000" w:themeColor="text1"/>
          <w:sz w:val="24"/>
          <w:szCs w:val="24"/>
        </w:rPr>
        <w:t>/día durante el embarazo), evaluar y tratar cualquier condición comórbida que pueda afectar la absorción o metabolismo de levotiroxina.</w:t>
      </w:r>
    </w:p>
    <w:p w14:paraId="5DC606E6" w14:textId="51DFFA34" w:rsidR="002C2DFC" w:rsidRPr="00143EDA" w:rsidRDefault="002C2DFC" w:rsidP="00143EDA">
      <w:pPr>
        <w:spacing w:line="276" w:lineRule="auto"/>
        <w:jc w:val="both"/>
        <w:rPr>
          <w:rFonts w:asciiTheme="minorHAnsi" w:hAnsiTheme="minorHAnsi" w:cstheme="minorHAnsi"/>
          <w:sz w:val="24"/>
          <w:szCs w:val="24"/>
        </w:rPr>
      </w:pPr>
    </w:p>
    <w:p w14:paraId="146DD825" w14:textId="702B5553" w:rsidR="00F159DF" w:rsidRPr="00143EDA" w:rsidRDefault="008A7F8A" w:rsidP="00B82801">
      <w:pPr>
        <w:pStyle w:val="Prrafodelista"/>
        <w:numPr>
          <w:ilvl w:val="0"/>
          <w:numId w:val="15"/>
        </w:numPr>
        <w:spacing w:line="276" w:lineRule="auto"/>
        <w:rPr>
          <w:rFonts w:asciiTheme="minorHAnsi" w:eastAsia="Times New Roman" w:hAnsiTheme="minorHAnsi" w:cstheme="minorHAnsi"/>
          <w:b/>
          <w:bCs/>
          <w:sz w:val="24"/>
          <w:szCs w:val="24"/>
          <w:lang w:eastAsia="es-ES"/>
        </w:rPr>
      </w:pPr>
      <w:r w:rsidRPr="00143EDA">
        <w:rPr>
          <w:rFonts w:asciiTheme="minorHAnsi" w:eastAsia="Times New Roman" w:hAnsiTheme="minorHAnsi" w:cstheme="minorHAnsi"/>
          <w:b/>
          <w:bCs/>
          <w:sz w:val="24"/>
          <w:szCs w:val="24"/>
          <w:lang w:eastAsia="es-ES"/>
        </w:rPr>
        <w:t>DISCUSIÓN</w:t>
      </w:r>
    </w:p>
    <w:p w14:paraId="0B910219" w14:textId="77777777" w:rsidR="00B73F43" w:rsidRPr="00143EDA" w:rsidRDefault="00B73F43" w:rsidP="00143EDA">
      <w:pPr>
        <w:spacing w:line="276" w:lineRule="auto"/>
        <w:jc w:val="both"/>
        <w:rPr>
          <w:rFonts w:asciiTheme="minorHAnsi" w:eastAsia="Times New Roman" w:hAnsiTheme="minorHAnsi" w:cstheme="minorHAnsi"/>
          <w:b/>
          <w:bCs/>
          <w:sz w:val="24"/>
          <w:szCs w:val="24"/>
          <w:lang w:eastAsia="es-ES"/>
        </w:rPr>
      </w:pPr>
    </w:p>
    <w:p w14:paraId="5F39ECEA" w14:textId="77777777" w:rsidR="002C2DFC" w:rsidRPr="00143EDA" w:rsidRDefault="002C2DFC" w:rsidP="00143EDA">
      <w:pPr>
        <w:spacing w:line="276" w:lineRule="auto"/>
        <w:jc w:val="both"/>
        <w:rPr>
          <w:rFonts w:asciiTheme="minorHAnsi" w:hAnsiTheme="minorHAnsi" w:cstheme="minorHAnsi"/>
          <w:color w:val="000000" w:themeColor="text1"/>
          <w:sz w:val="24"/>
          <w:szCs w:val="24"/>
          <w:shd w:val="clear" w:color="auto" w:fill="FFFFFF"/>
        </w:rPr>
      </w:pPr>
      <w:bookmarkStart w:id="4" w:name="_Hlk178595557"/>
      <w:r w:rsidRPr="00143EDA">
        <w:rPr>
          <w:rFonts w:asciiTheme="minorHAnsi" w:hAnsiTheme="minorHAnsi" w:cstheme="minorHAnsi"/>
          <w:color w:val="000000" w:themeColor="text1"/>
          <w:sz w:val="24"/>
          <w:szCs w:val="24"/>
          <w:shd w:val="clear" w:color="auto" w:fill="FFFFFF"/>
        </w:rPr>
        <w:t xml:space="preserve">En un estudio con mujeres con hipotiroidismo subclínico y anticuerpos </w:t>
      </w:r>
      <w:proofErr w:type="spellStart"/>
      <w:r w:rsidRPr="00143EDA">
        <w:rPr>
          <w:rFonts w:asciiTheme="minorHAnsi" w:hAnsiTheme="minorHAnsi" w:cstheme="minorHAnsi"/>
          <w:color w:val="000000" w:themeColor="text1"/>
          <w:sz w:val="24"/>
          <w:szCs w:val="24"/>
          <w:shd w:val="clear" w:color="auto" w:fill="FFFFFF"/>
        </w:rPr>
        <w:t>antiTPO</w:t>
      </w:r>
      <w:proofErr w:type="spellEnd"/>
      <w:r w:rsidRPr="00143EDA">
        <w:rPr>
          <w:rFonts w:asciiTheme="minorHAnsi" w:hAnsiTheme="minorHAnsi" w:cstheme="minorHAnsi"/>
          <w:color w:val="000000" w:themeColor="text1"/>
          <w:sz w:val="24"/>
          <w:szCs w:val="24"/>
          <w:shd w:val="clear" w:color="auto" w:fill="FFFFFF"/>
        </w:rPr>
        <w:t xml:space="preserve"> positivos o negativos (enfermedad autoinmunitaria), la evidencia sugiere que el reemplazo de tiroxina podría haber mejorado la tasa de nacidos vivos (CR 2,13, IC del 95%: 1,07 a 4,21; 1 ECA, n = 64; evidencia de calidad baja) y que podría haber dado lugar a tasas de aborto espontáneo similares (CR 0,11, IC del 95%: 0,01 </w:t>
      </w:r>
      <w:proofErr w:type="spellStart"/>
      <w:r w:rsidRPr="00143EDA">
        <w:rPr>
          <w:rFonts w:asciiTheme="minorHAnsi" w:hAnsiTheme="minorHAnsi" w:cstheme="minorHAnsi"/>
          <w:color w:val="000000" w:themeColor="text1"/>
          <w:sz w:val="24"/>
          <w:szCs w:val="24"/>
          <w:shd w:val="clear" w:color="auto" w:fill="FFFFFF"/>
        </w:rPr>
        <w:t>to</w:t>
      </w:r>
      <w:proofErr w:type="spellEnd"/>
      <w:r w:rsidRPr="00143EDA">
        <w:rPr>
          <w:rFonts w:asciiTheme="minorHAnsi" w:hAnsiTheme="minorHAnsi" w:cstheme="minorHAnsi"/>
          <w:color w:val="000000" w:themeColor="text1"/>
          <w:sz w:val="24"/>
          <w:szCs w:val="24"/>
          <w:shd w:val="clear" w:color="auto" w:fill="FFFFFF"/>
        </w:rPr>
        <w:t xml:space="preserve"> 1,98; 1 ECA, n = 64; evidencia de calidad baja). La evidencia sugiere que las mujeres con hipotiroidismo subclínico y anticuerpos </w:t>
      </w:r>
      <w:proofErr w:type="spellStart"/>
      <w:r w:rsidRPr="00143EDA">
        <w:rPr>
          <w:rFonts w:asciiTheme="minorHAnsi" w:hAnsiTheme="minorHAnsi" w:cstheme="minorHAnsi"/>
          <w:color w:val="000000" w:themeColor="text1"/>
          <w:sz w:val="24"/>
          <w:szCs w:val="24"/>
          <w:shd w:val="clear" w:color="auto" w:fill="FFFFFF"/>
        </w:rPr>
        <w:t>antiTPO</w:t>
      </w:r>
      <w:proofErr w:type="spellEnd"/>
      <w:r w:rsidRPr="00143EDA">
        <w:rPr>
          <w:rFonts w:asciiTheme="minorHAnsi" w:hAnsiTheme="minorHAnsi" w:cstheme="minorHAnsi"/>
          <w:color w:val="000000" w:themeColor="text1"/>
          <w:sz w:val="24"/>
          <w:szCs w:val="24"/>
          <w:shd w:val="clear" w:color="auto" w:fill="FFFFFF"/>
        </w:rPr>
        <w:t xml:space="preserve"> positivos o negativos tendrían una probabilidad del 25% de tener un nacido vivo con placebo o ningún tratamiento, y de un 27% a un 100% con tiroxina. </w:t>
      </w:r>
      <w:sdt>
        <w:sdtPr>
          <w:rPr>
            <w:rFonts w:asciiTheme="minorHAnsi" w:hAnsiTheme="minorHAnsi" w:cstheme="minorHAnsi"/>
            <w:color w:val="000000" w:themeColor="text1"/>
            <w:sz w:val="24"/>
            <w:szCs w:val="24"/>
            <w:shd w:val="clear" w:color="auto" w:fill="FFFFFF"/>
          </w:rPr>
          <w:id w:val="1065694700"/>
          <w:citation/>
        </w:sdtPr>
        <w:sdtContent>
          <w:r w:rsidRPr="00143EDA">
            <w:rPr>
              <w:rFonts w:asciiTheme="minorHAnsi" w:hAnsiTheme="minorHAnsi" w:cstheme="minorHAnsi"/>
              <w:color w:val="000000" w:themeColor="text1"/>
              <w:sz w:val="24"/>
              <w:szCs w:val="24"/>
              <w:shd w:val="clear" w:color="auto" w:fill="FFFFFF"/>
            </w:rPr>
            <w:fldChar w:fldCharType="begin"/>
          </w:r>
          <w:r w:rsidRPr="00143EDA">
            <w:rPr>
              <w:rFonts w:asciiTheme="minorHAnsi" w:hAnsiTheme="minorHAnsi" w:cstheme="minorHAnsi"/>
              <w:color w:val="000000" w:themeColor="text1"/>
              <w:sz w:val="24"/>
              <w:szCs w:val="24"/>
              <w:shd w:val="clear" w:color="auto" w:fill="FFFFFF"/>
            </w:rPr>
            <w:instrText xml:space="preserve"> CITATION Ahs19 \l 12298 </w:instrText>
          </w:r>
          <w:r w:rsidRPr="00143EDA">
            <w:rPr>
              <w:rFonts w:asciiTheme="minorHAnsi" w:hAnsiTheme="minorHAnsi" w:cstheme="minorHAnsi"/>
              <w:color w:val="000000" w:themeColor="text1"/>
              <w:sz w:val="24"/>
              <w:szCs w:val="24"/>
              <w:shd w:val="clear" w:color="auto" w:fill="FFFFFF"/>
            </w:rPr>
            <w:fldChar w:fldCharType="separate"/>
          </w:r>
          <w:r w:rsidRPr="00143EDA">
            <w:rPr>
              <w:rFonts w:asciiTheme="minorHAnsi" w:hAnsiTheme="minorHAnsi" w:cstheme="minorHAnsi"/>
              <w:noProof/>
              <w:color w:val="000000" w:themeColor="text1"/>
              <w:sz w:val="24"/>
              <w:szCs w:val="24"/>
              <w:shd w:val="clear" w:color="auto" w:fill="FFFFFF"/>
            </w:rPr>
            <w:t>(31)</w:t>
          </w:r>
          <w:r w:rsidRPr="00143EDA">
            <w:rPr>
              <w:rFonts w:asciiTheme="minorHAnsi" w:hAnsiTheme="minorHAnsi" w:cstheme="minorHAnsi"/>
              <w:color w:val="000000" w:themeColor="text1"/>
              <w:sz w:val="24"/>
              <w:szCs w:val="24"/>
              <w:shd w:val="clear" w:color="auto" w:fill="FFFFFF"/>
            </w:rPr>
            <w:fldChar w:fldCharType="end"/>
          </w:r>
        </w:sdtContent>
      </w:sdt>
      <w:r w:rsidRPr="00143EDA">
        <w:rPr>
          <w:rFonts w:asciiTheme="minorHAnsi" w:hAnsiTheme="minorHAnsi" w:cstheme="minorHAnsi"/>
          <w:color w:val="000000" w:themeColor="text1"/>
          <w:sz w:val="24"/>
          <w:szCs w:val="24"/>
          <w:shd w:val="clear" w:color="auto" w:fill="FFFFFF"/>
        </w:rPr>
        <w:t>.</w:t>
      </w:r>
    </w:p>
    <w:p w14:paraId="4C42AAD1" w14:textId="77777777" w:rsidR="002C2DFC" w:rsidRPr="00143EDA"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 xml:space="preserve">Los efectos sobre la Fertilidad ya que puede reducir la producción de óvulos y causar irregularidades menstruales y el aumento de los niveles de prolactina, que se observa en mujeres con hipotiroidismo, también puede inhibir la ovulación, dificultando así la concepción. Las mujeres embarazadas con hipotiroidismo no tratado tienen un mayor riesgo de aborto espontáneo, hipertensión gestacional y complicaciones del desarrollo fetal </w:t>
      </w:r>
      <w:sdt>
        <w:sdtPr>
          <w:rPr>
            <w:rFonts w:asciiTheme="minorHAnsi" w:hAnsiTheme="minorHAnsi" w:cstheme="minorHAnsi"/>
            <w:color w:val="000000" w:themeColor="text1"/>
            <w:sz w:val="24"/>
            <w:szCs w:val="24"/>
          </w:rPr>
          <w:id w:val="1641074209"/>
          <w:citation/>
        </w:sdtPr>
        <w:sdtContent>
          <w:r w:rsidRPr="00143EDA">
            <w:rPr>
              <w:rFonts w:asciiTheme="minorHAnsi" w:hAnsiTheme="minorHAnsi" w:cstheme="minorHAnsi"/>
              <w:color w:val="000000" w:themeColor="text1"/>
              <w:sz w:val="24"/>
              <w:szCs w:val="24"/>
            </w:rPr>
            <w:fldChar w:fldCharType="begin"/>
          </w:r>
          <w:r w:rsidRPr="00143EDA">
            <w:rPr>
              <w:rFonts w:asciiTheme="minorHAnsi" w:hAnsiTheme="minorHAnsi" w:cstheme="minorHAnsi"/>
              <w:color w:val="000000" w:themeColor="text1"/>
              <w:sz w:val="24"/>
              <w:szCs w:val="24"/>
            </w:rPr>
            <w:instrText xml:space="preserve"> CITATION Tat24 \l 3082 </w:instrText>
          </w:r>
          <w:r w:rsidRPr="00143EDA">
            <w:rPr>
              <w:rFonts w:asciiTheme="minorHAnsi" w:hAnsiTheme="minorHAnsi" w:cstheme="minorHAnsi"/>
              <w:color w:val="000000" w:themeColor="text1"/>
              <w:sz w:val="24"/>
              <w:szCs w:val="24"/>
            </w:rPr>
            <w:fldChar w:fldCharType="separate"/>
          </w:r>
          <w:r w:rsidRPr="00143EDA">
            <w:rPr>
              <w:rFonts w:asciiTheme="minorHAnsi" w:hAnsiTheme="minorHAnsi" w:cstheme="minorHAnsi"/>
              <w:noProof/>
              <w:color w:val="000000" w:themeColor="text1"/>
              <w:sz w:val="24"/>
              <w:szCs w:val="24"/>
            </w:rPr>
            <w:t>(32)</w:t>
          </w:r>
          <w:r w:rsidRPr="00143EDA">
            <w:rPr>
              <w:rFonts w:asciiTheme="minorHAnsi" w:hAnsiTheme="minorHAnsi" w:cstheme="minorHAnsi"/>
              <w:color w:val="000000" w:themeColor="text1"/>
              <w:sz w:val="24"/>
              <w:szCs w:val="24"/>
            </w:rPr>
            <w:fldChar w:fldCharType="end"/>
          </w:r>
        </w:sdtContent>
      </w:sdt>
      <w:r w:rsidRPr="00143EDA">
        <w:rPr>
          <w:rFonts w:asciiTheme="minorHAnsi" w:hAnsiTheme="minorHAnsi" w:cstheme="minorHAnsi"/>
          <w:color w:val="000000" w:themeColor="text1"/>
          <w:sz w:val="24"/>
          <w:szCs w:val="24"/>
        </w:rPr>
        <w:t>.</w:t>
      </w:r>
    </w:p>
    <w:p w14:paraId="4FB5C1B3" w14:textId="77777777" w:rsidR="00BC103B" w:rsidRDefault="002C2DFC" w:rsidP="00143EDA">
      <w:pPr>
        <w:spacing w:line="276" w:lineRule="auto"/>
        <w:jc w:val="both"/>
        <w:rPr>
          <w:rFonts w:asciiTheme="minorHAnsi" w:hAnsiTheme="minorHAnsi" w:cstheme="minorHAnsi"/>
          <w:color w:val="000000" w:themeColor="text1"/>
          <w:sz w:val="24"/>
          <w:szCs w:val="24"/>
        </w:rPr>
      </w:pPr>
      <w:r w:rsidRPr="00143EDA">
        <w:rPr>
          <w:rFonts w:asciiTheme="minorHAnsi" w:hAnsiTheme="minorHAnsi" w:cstheme="minorHAnsi"/>
          <w:color w:val="000000" w:themeColor="text1"/>
          <w:sz w:val="24"/>
          <w:szCs w:val="24"/>
        </w:rPr>
        <w:t>Existe controversia sobre si el hipotiroidismo subclínico debe ser tratado. Algunos estudios sugieren que el reemplazo con levotiroxina puede mejorar las tasas de nacidos vivos y reducir el riesgo de aborto en mujeres con este trastorno que buscan embarazarse. Sin embargo, se requieren más investigaciones para determinar el impacto a largo plazo del tratamiento.</w:t>
      </w:r>
    </w:p>
    <w:p w14:paraId="457FE464"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2E086CED"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1609AA7B"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5ACEA755"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38018D79"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5C30D39F"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46946ED9" w14:textId="77777777" w:rsidR="00E709A0" w:rsidRDefault="00E709A0" w:rsidP="00143EDA">
      <w:pPr>
        <w:spacing w:line="276" w:lineRule="auto"/>
        <w:jc w:val="both"/>
        <w:rPr>
          <w:rFonts w:asciiTheme="minorHAnsi" w:hAnsiTheme="minorHAnsi" w:cstheme="minorHAnsi"/>
          <w:color w:val="000000" w:themeColor="text1"/>
          <w:sz w:val="24"/>
          <w:szCs w:val="24"/>
        </w:rPr>
      </w:pPr>
    </w:p>
    <w:p w14:paraId="78D2AE74" w14:textId="1255BC3D" w:rsidR="002C2DFC" w:rsidRPr="00143EDA" w:rsidRDefault="002C2DFC" w:rsidP="00143EDA">
      <w:pPr>
        <w:spacing w:line="276" w:lineRule="auto"/>
        <w:jc w:val="both"/>
        <w:rPr>
          <w:rFonts w:asciiTheme="minorHAnsi" w:hAnsiTheme="minorHAnsi" w:cstheme="minorHAnsi"/>
          <w:color w:val="000000" w:themeColor="text1"/>
          <w:sz w:val="24"/>
          <w:szCs w:val="24"/>
        </w:rPr>
      </w:pPr>
    </w:p>
    <w:bookmarkEnd w:id="4"/>
    <w:p w14:paraId="45055B63" w14:textId="44D0BE9B" w:rsidR="00E709A0" w:rsidRDefault="00E709A0" w:rsidP="00E709A0">
      <w:pPr>
        <w:spacing w:line="276" w:lineRule="auto"/>
        <w:ind w:left="105"/>
        <w:rPr>
          <w:rFonts w:asciiTheme="minorHAnsi" w:hAnsiTheme="minorHAnsi" w:cstheme="minorHAnsi"/>
          <w:b/>
          <w:bCs/>
          <w:color w:val="000000" w:themeColor="text1"/>
          <w:sz w:val="24"/>
          <w:szCs w:val="24"/>
        </w:rPr>
      </w:pPr>
      <w:r w:rsidRPr="00143EDA">
        <w:rPr>
          <w:rFonts w:asciiTheme="minorHAnsi" w:hAnsiTheme="minorHAnsi" w:cstheme="minorHAnsi"/>
          <w:noProof/>
          <w:sz w:val="24"/>
          <w:szCs w:val="24"/>
        </w:rPr>
        <w:lastRenderedPageBreak/>
        <w:drawing>
          <wp:anchor distT="0" distB="0" distL="0" distR="0" simplePos="0" relativeHeight="251704320" behindDoc="1" locked="0" layoutInCell="1" allowOverlap="1" wp14:anchorId="5D29565F" wp14:editId="172D18CD">
            <wp:simplePos x="0" y="0"/>
            <wp:positionH relativeFrom="margin">
              <wp:align>right</wp:align>
            </wp:positionH>
            <wp:positionV relativeFrom="page">
              <wp:posOffset>876300</wp:posOffset>
            </wp:positionV>
            <wp:extent cx="5958840" cy="9608820"/>
            <wp:effectExtent l="0" t="0" r="3810" b="0"/>
            <wp:wrapNone/>
            <wp:docPr id="1886703546" name="Imagen 1886703546"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0" cstate="print"/>
                    <a:stretch>
                      <a:fillRect/>
                    </a:stretch>
                  </pic:blipFill>
                  <pic:spPr>
                    <a:xfrm>
                      <a:off x="0" y="0"/>
                      <a:ext cx="5958840" cy="9608820"/>
                    </a:xfrm>
                    <a:prstGeom prst="rect">
                      <a:avLst/>
                    </a:prstGeom>
                  </pic:spPr>
                </pic:pic>
              </a:graphicData>
            </a:graphic>
            <wp14:sizeRelH relativeFrom="margin">
              <wp14:pctWidth>0</wp14:pctWidth>
            </wp14:sizeRelH>
            <wp14:sizeRelV relativeFrom="margin">
              <wp14:pctHeight>0</wp14:pctHeight>
            </wp14:sizeRelV>
          </wp:anchor>
        </w:drawing>
      </w:r>
    </w:p>
    <w:p w14:paraId="19DA624E" w14:textId="77777777" w:rsidR="00E709A0" w:rsidRDefault="00E709A0" w:rsidP="00E709A0">
      <w:pPr>
        <w:spacing w:line="276" w:lineRule="auto"/>
        <w:ind w:left="105"/>
        <w:rPr>
          <w:rFonts w:asciiTheme="minorHAnsi" w:hAnsiTheme="minorHAnsi" w:cstheme="minorHAnsi"/>
          <w:b/>
          <w:bCs/>
          <w:color w:val="000000" w:themeColor="text1"/>
          <w:sz w:val="24"/>
          <w:szCs w:val="24"/>
        </w:rPr>
      </w:pPr>
    </w:p>
    <w:p w14:paraId="70253681" w14:textId="77777777" w:rsidR="00E709A0" w:rsidRDefault="002C2DFC" w:rsidP="00143EDA">
      <w:pPr>
        <w:pStyle w:val="Prrafodelista"/>
        <w:numPr>
          <w:ilvl w:val="0"/>
          <w:numId w:val="15"/>
        </w:numPr>
        <w:spacing w:line="276" w:lineRule="auto"/>
        <w:rPr>
          <w:rFonts w:asciiTheme="minorHAnsi" w:hAnsiTheme="minorHAnsi" w:cstheme="minorHAnsi"/>
          <w:b/>
          <w:bCs/>
          <w:color w:val="000000" w:themeColor="text1"/>
          <w:sz w:val="24"/>
          <w:szCs w:val="24"/>
        </w:rPr>
      </w:pPr>
      <w:r w:rsidRPr="00E709A0">
        <w:rPr>
          <w:rFonts w:asciiTheme="minorHAnsi" w:hAnsiTheme="minorHAnsi" w:cstheme="minorHAnsi"/>
          <w:b/>
          <w:bCs/>
          <w:color w:val="000000" w:themeColor="text1"/>
          <w:sz w:val="24"/>
          <w:szCs w:val="24"/>
        </w:rPr>
        <w:t>CONCLUSIONES</w:t>
      </w:r>
      <w:bookmarkStart w:id="5" w:name="_Hlk178595598"/>
    </w:p>
    <w:p w14:paraId="0DD01AFC" w14:textId="77777777" w:rsidR="00E709A0" w:rsidRDefault="00E709A0" w:rsidP="00E709A0">
      <w:pPr>
        <w:pStyle w:val="Prrafodelista"/>
        <w:spacing w:line="276" w:lineRule="auto"/>
        <w:ind w:firstLine="0"/>
        <w:rPr>
          <w:rFonts w:asciiTheme="minorHAnsi" w:hAnsiTheme="minorHAnsi" w:cstheme="minorHAnsi"/>
          <w:b/>
          <w:bCs/>
          <w:color w:val="000000" w:themeColor="text1"/>
          <w:sz w:val="24"/>
          <w:szCs w:val="24"/>
        </w:rPr>
      </w:pPr>
    </w:p>
    <w:p w14:paraId="32CC6B7E" w14:textId="5EA8D3BE" w:rsidR="002C2DFC" w:rsidRPr="00E709A0" w:rsidRDefault="002C2DFC" w:rsidP="00E709A0">
      <w:pPr>
        <w:pStyle w:val="Prrafodelista"/>
        <w:spacing w:line="276" w:lineRule="auto"/>
        <w:ind w:firstLine="0"/>
        <w:rPr>
          <w:rFonts w:asciiTheme="minorHAnsi" w:hAnsiTheme="minorHAnsi" w:cstheme="minorHAnsi"/>
          <w:b/>
          <w:bCs/>
          <w:color w:val="000000" w:themeColor="text1"/>
          <w:sz w:val="24"/>
          <w:szCs w:val="24"/>
        </w:rPr>
      </w:pPr>
      <w:r w:rsidRPr="00E709A0">
        <w:rPr>
          <w:rFonts w:asciiTheme="minorHAnsi" w:hAnsiTheme="minorHAnsi" w:cstheme="minorHAnsi"/>
          <w:color w:val="000000" w:themeColor="text1"/>
          <w:sz w:val="24"/>
          <w:szCs w:val="24"/>
        </w:rPr>
        <w:t xml:space="preserve">El hipotiroidismo en mujeres en edad fértil es una condición que puede tener un impacto significativo en la fertilidad y los desenlaces obstétricos. La evidencia muestra que el hipotiroidismo, tanto manifiesto como subclínico, se asocia con disfunción ovárica, irregularidades menstruales y un aumento en la tasa de abortos espontáneos. Por ello realizar un diagnóstico temprano y un manejo adecuado, ya que el tratamiento con levotiroxina puede mejorar los resultados reproductivos y materno-fetales. Sin embargo, se necesita más investigación para establecer pautas claras sobre el tratamiento del hipotiroidismo subclínico en mujeres que buscan concebir. </w:t>
      </w:r>
    </w:p>
    <w:p w14:paraId="0CFD99B3" w14:textId="5BAEE3C2" w:rsidR="00143EDA" w:rsidRDefault="00143EDA" w:rsidP="00143EDA">
      <w:pPr>
        <w:spacing w:line="276" w:lineRule="auto"/>
        <w:jc w:val="both"/>
        <w:rPr>
          <w:rFonts w:asciiTheme="minorHAnsi" w:hAnsiTheme="minorHAnsi" w:cstheme="minorHAnsi"/>
          <w:color w:val="000000" w:themeColor="text1"/>
          <w:sz w:val="24"/>
          <w:szCs w:val="24"/>
        </w:rPr>
      </w:pPr>
    </w:p>
    <w:p w14:paraId="4E414552" w14:textId="404CF0A5" w:rsidR="00143EDA" w:rsidRPr="00143EDA" w:rsidRDefault="00143EDA" w:rsidP="00143EDA">
      <w:pPr>
        <w:spacing w:line="276" w:lineRule="auto"/>
        <w:jc w:val="both"/>
        <w:rPr>
          <w:rFonts w:asciiTheme="minorHAnsi" w:hAnsiTheme="minorHAnsi" w:cstheme="minorHAnsi"/>
          <w:color w:val="000000" w:themeColor="text1"/>
          <w:sz w:val="24"/>
          <w:szCs w:val="24"/>
        </w:rPr>
      </w:pPr>
    </w:p>
    <w:sdt>
      <w:sdtPr>
        <w:rPr>
          <w:rFonts w:asciiTheme="minorHAnsi" w:eastAsiaTheme="minorEastAsia" w:hAnsiTheme="minorHAnsi" w:cstheme="minorHAnsi"/>
          <w:b w:val="0"/>
          <w:bCs w:val="0"/>
          <w:sz w:val="22"/>
          <w:szCs w:val="22"/>
        </w:rPr>
        <w:id w:val="360406081"/>
        <w:docPartObj>
          <w:docPartGallery w:val="Bibliographies"/>
          <w:docPartUnique/>
        </w:docPartObj>
      </w:sdtPr>
      <w:sdtEndPr>
        <w:rPr>
          <w:rFonts w:ascii="Calibri" w:eastAsia="Calibri" w:hAnsi="Calibri" w:cs="Calibri"/>
        </w:rPr>
      </w:sdtEndPr>
      <w:sdtContent>
        <w:p w14:paraId="52BC3E49" w14:textId="705118EC" w:rsidR="00143EDA" w:rsidRPr="00143EDA" w:rsidRDefault="00B82801" w:rsidP="00B82801">
          <w:pPr>
            <w:pStyle w:val="Ttulo1"/>
            <w:numPr>
              <w:ilvl w:val="0"/>
              <w:numId w:val="15"/>
            </w:numPr>
            <w:spacing w:line="276" w:lineRule="auto"/>
            <w:jc w:val="both"/>
            <w:rPr>
              <w:rFonts w:asciiTheme="minorHAnsi" w:hAnsiTheme="minorHAnsi" w:cstheme="minorHAnsi"/>
            </w:rPr>
          </w:pPr>
          <w:r w:rsidRPr="00143EDA">
            <w:rPr>
              <w:rFonts w:asciiTheme="minorHAnsi" w:hAnsiTheme="minorHAnsi" w:cstheme="minorHAnsi"/>
            </w:rPr>
            <w:t>BIBLIOGRAFÍA</w:t>
          </w:r>
        </w:p>
        <w:sdt>
          <w:sdtPr>
            <w:rPr>
              <w:rFonts w:ascii="Calibri" w:eastAsia="Calibri" w:hAnsi="Calibri" w:cstheme="minorHAnsi"/>
              <w:sz w:val="24"/>
              <w:szCs w:val="24"/>
            </w:rPr>
            <w:id w:val="111145805"/>
            <w:bibliography/>
          </w:sdtPr>
          <w:sdtEndPr>
            <w:rPr>
              <w:rFonts w:cs="Calibri"/>
              <w:sz w:val="22"/>
              <w:szCs w:val="22"/>
            </w:rPr>
          </w:sdtEndPr>
          <w:sdtContent>
            <w:p w14:paraId="1AAE4F76" w14:textId="77777777" w:rsidR="00143EDA" w:rsidRPr="00143EDA" w:rsidRDefault="00143EDA" w:rsidP="00143EDA">
              <w:pPr>
                <w:pStyle w:val="Bibliografa"/>
                <w:spacing w:line="276" w:lineRule="auto"/>
                <w:jc w:val="both"/>
                <w:rPr>
                  <w:rFonts w:cstheme="minorHAnsi"/>
                  <w:noProof/>
                  <w:vanish/>
                  <w:sz w:val="24"/>
                  <w:szCs w:val="24"/>
                </w:rPr>
              </w:pPr>
              <w:r w:rsidRPr="00143EDA">
                <w:rPr>
                  <w:rFonts w:cstheme="minorHAnsi"/>
                  <w:sz w:val="24"/>
                  <w:szCs w:val="24"/>
                </w:rPr>
                <w:fldChar w:fldCharType="begin"/>
              </w:r>
              <w:r w:rsidRPr="00143EDA">
                <w:rPr>
                  <w:rFonts w:cstheme="minorHAnsi"/>
                  <w:sz w:val="24"/>
                  <w:szCs w:val="24"/>
                </w:rPr>
                <w:instrText>BIBLIOGRAPHY</w:instrText>
              </w:r>
              <w:r w:rsidRPr="00143EDA">
                <w:rPr>
                  <w:rFonts w:cstheme="minorHAnsi"/>
                  <w:sz w:val="24"/>
                  <w:szCs w:val="24"/>
                </w:rPr>
                <w:fldChar w:fldCharType="separate"/>
              </w:r>
              <w:r w:rsidRPr="00143EDA">
                <w:rPr>
                  <w:rFonts w:cstheme="minorHAnsi"/>
                  <w:noProof/>
                  <w:vanish/>
                  <w:sz w:val="24"/>
                  <w:szCs w:val="24"/>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9"/>
                <w:gridCol w:w="9011"/>
              </w:tblGrid>
              <w:tr w:rsidR="00143EDA" w:rsidRPr="009E47F3" w14:paraId="6E9CEAF6" w14:textId="77777777" w:rsidTr="00003039">
                <w:trPr>
                  <w:tblCellSpacing w:w="15" w:type="dxa"/>
                </w:trPr>
                <w:tc>
                  <w:tcPr>
                    <w:tcW w:w="28" w:type="pct"/>
                    <w:hideMark/>
                  </w:tcPr>
                  <w:p w14:paraId="2C2B2CA6" w14:textId="77777777" w:rsidR="00143EDA" w:rsidRPr="00143EDA" w:rsidRDefault="00143EDA" w:rsidP="00143EDA">
                    <w:pPr>
                      <w:pStyle w:val="Bibliografa"/>
                      <w:spacing w:line="276" w:lineRule="auto"/>
                      <w:jc w:val="both"/>
                      <w:rPr>
                        <w:rFonts w:cstheme="minorHAnsi"/>
                        <w:noProof/>
                        <w:sz w:val="24"/>
                        <w:szCs w:val="24"/>
                      </w:rPr>
                    </w:pPr>
                    <w:bookmarkStart w:id="6" w:name="_Hlk178595657"/>
                    <w:r w:rsidRPr="00143EDA">
                      <w:rPr>
                        <w:rFonts w:cstheme="minorHAnsi"/>
                        <w:noProof/>
                        <w:sz w:val="24"/>
                        <w:szCs w:val="24"/>
                      </w:rPr>
                      <w:t>1.</w:t>
                    </w:r>
                  </w:p>
                </w:tc>
                <w:tc>
                  <w:tcPr>
                    <w:tcW w:w="4922" w:type="pct"/>
                    <w:hideMark/>
                  </w:tcPr>
                  <w:p w14:paraId="0F5C9A6C" w14:textId="77777777" w:rsidR="00143EDA" w:rsidRPr="00143EDA" w:rsidRDefault="00143EDA" w:rsidP="00143EDA">
                    <w:pPr>
                      <w:pStyle w:val="Bibliografa"/>
                      <w:spacing w:line="276" w:lineRule="auto"/>
                      <w:jc w:val="both"/>
                      <w:rPr>
                        <w:rFonts w:cstheme="minorHAnsi"/>
                        <w:noProof/>
                        <w:sz w:val="24"/>
                        <w:szCs w:val="24"/>
                        <w:lang w:val="en-US"/>
                      </w:rPr>
                    </w:pPr>
                    <w:r w:rsidRPr="00143EDA">
                      <w:rPr>
                        <w:rFonts w:cstheme="minorHAnsi"/>
                        <w:noProof/>
                        <w:sz w:val="24"/>
                        <w:szCs w:val="24"/>
                        <w:lang w:val="en-US"/>
                      </w:rPr>
                      <w:t xml:space="preserve">Radioinfo. Radioinfo. [Online].; 2024 [cited 2024 septiembre 1. Available from: </w:t>
                    </w:r>
                    <w:hyperlink r:id="rId16" w:history="1">
                      <w:r w:rsidRPr="00143EDA">
                        <w:rPr>
                          <w:rStyle w:val="Hipervnculo"/>
                          <w:rFonts w:cstheme="minorHAnsi"/>
                          <w:noProof/>
                          <w:sz w:val="24"/>
                          <w:szCs w:val="24"/>
                          <w:lang w:val="en-US"/>
                        </w:rPr>
                        <w:t>https://www.radiologyinfo.org/es/info/thyroid-disease</w:t>
                      </w:r>
                    </w:hyperlink>
                    <w:r w:rsidRPr="00143EDA">
                      <w:rPr>
                        <w:rFonts w:cstheme="minorHAnsi"/>
                        <w:noProof/>
                        <w:sz w:val="24"/>
                        <w:szCs w:val="24"/>
                        <w:lang w:val="en-US"/>
                      </w:rPr>
                      <w:t>.</w:t>
                    </w:r>
                  </w:p>
                </w:tc>
              </w:tr>
              <w:tr w:rsidR="00143EDA" w:rsidRPr="00143EDA" w14:paraId="32F97F40" w14:textId="77777777" w:rsidTr="00003039">
                <w:trPr>
                  <w:tblCellSpacing w:w="15" w:type="dxa"/>
                </w:trPr>
                <w:tc>
                  <w:tcPr>
                    <w:tcW w:w="28" w:type="pct"/>
                    <w:hideMark/>
                  </w:tcPr>
                  <w:p w14:paraId="14EED562"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2.</w:t>
                    </w:r>
                  </w:p>
                </w:tc>
                <w:tc>
                  <w:tcPr>
                    <w:tcW w:w="4922" w:type="pct"/>
                    <w:hideMark/>
                  </w:tcPr>
                  <w:p w14:paraId="297CC760"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Franco Herrera D, Córdoba Díaz D, González Ocampo D, Ospina JJ, Olaya Garay SX, Murillo García DR. Hipertiroidismo en el embarazo. Rev. peru. ginecol. obstet. vol.64 no.4. 2018.</w:t>
                    </w:r>
                  </w:p>
                </w:tc>
              </w:tr>
              <w:tr w:rsidR="00143EDA" w:rsidRPr="00143EDA" w14:paraId="42397343" w14:textId="77777777" w:rsidTr="00003039">
                <w:trPr>
                  <w:tblCellSpacing w:w="15" w:type="dxa"/>
                </w:trPr>
                <w:tc>
                  <w:tcPr>
                    <w:tcW w:w="28" w:type="pct"/>
                    <w:hideMark/>
                  </w:tcPr>
                  <w:p w14:paraId="289377C5"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3.</w:t>
                    </w:r>
                  </w:p>
                </w:tc>
                <w:tc>
                  <w:tcPr>
                    <w:tcW w:w="4922" w:type="pct"/>
                    <w:hideMark/>
                  </w:tcPr>
                  <w:p w14:paraId="3C6678EA"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Jimenez Ibañez LC, Conde Gutierrez YdS, Torres Trejo JA. Hipotiroidismo asociado con infertilidad en mujeres en edad reproductiva. Ginecol. obstet. Méx. vol.88 no.5. 2021.</w:t>
                    </w:r>
                  </w:p>
                </w:tc>
              </w:tr>
              <w:tr w:rsidR="00143EDA" w:rsidRPr="00143EDA" w14:paraId="666027A9" w14:textId="77777777" w:rsidTr="00003039">
                <w:trPr>
                  <w:tblCellSpacing w:w="15" w:type="dxa"/>
                </w:trPr>
                <w:tc>
                  <w:tcPr>
                    <w:tcW w:w="28" w:type="pct"/>
                    <w:hideMark/>
                  </w:tcPr>
                  <w:p w14:paraId="3107AB68"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4.</w:t>
                    </w:r>
                  </w:p>
                </w:tc>
                <w:tc>
                  <w:tcPr>
                    <w:tcW w:w="4922" w:type="pct"/>
                    <w:hideMark/>
                  </w:tcPr>
                  <w:p w14:paraId="0E477500"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Arauco I, Sgarbossa N, Ariel Franco JV. Hipotiroidismo subclínico en mujeres en edad reproductiva y embarazadas. Evidencia, actualizacion en la práctica ambulatoria Vol. 22 Núm. 4 (2019). 2019.</w:t>
                    </w:r>
                  </w:p>
                </w:tc>
              </w:tr>
              <w:tr w:rsidR="00143EDA" w:rsidRPr="00143EDA" w14:paraId="43A1FF4F" w14:textId="77777777" w:rsidTr="00003039">
                <w:trPr>
                  <w:tblCellSpacing w:w="15" w:type="dxa"/>
                </w:trPr>
                <w:tc>
                  <w:tcPr>
                    <w:tcW w:w="28" w:type="pct"/>
                    <w:hideMark/>
                  </w:tcPr>
                  <w:p w14:paraId="11DE741C"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5.</w:t>
                    </w:r>
                  </w:p>
                </w:tc>
                <w:tc>
                  <w:tcPr>
                    <w:tcW w:w="4922" w:type="pct"/>
                    <w:hideMark/>
                  </w:tcPr>
                  <w:p w14:paraId="1E19175D"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Sánchez Salazar GM. Prevalencia y factores asociados al hipotiroidismo subclinico en mujeres de edad fertil. Cuenca:; 2019.</w:t>
                    </w:r>
                  </w:p>
                </w:tc>
              </w:tr>
              <w:tr w:rsidR="00143EDA" w:rsidRPr="00143EDA" w14:paraId="1A60EDC0" w14:textId="77777777" w:rsidTr="00003039">
                <w:trPr>
                  <w:tblCellSpacing w:w="15" w:type="dxa"/>
                </w:trPr>
                <w:tc>
                  <w:tcPr>
                    <w:tcW w:w="28" w:type="pct"/>
                    <w:hideMark/>
                  </w:tcPr>
                  <w:p w14:paraId="38CC6034"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6.</w:t>
                    </w:r>
                  </w:p>
                </w:tc>
                <w:tc>
                  <w:tcPr>
                    <w:tcW w:w="4922" w:type="pct"/>
                    <w:hideMark/>
                  </w:tcPr>
                  <w:p w14:paraId="139370F4"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Hernandez Gómez N, Hernandez Olmos JD, Hinojosa Dasa DM, Martinez Hernandez L. Hipotiroidismo subclínico en el embarazo y la frecuencia de sus complicaciones. Bogotá:; 2019.</w:t>
                    </w:r>
                  </w:p>
                </w:tc>
              </w:tr>
              <w:tr w:rsidR="00143EDA" w:rsidRPr="00143EDA" w14:paraId="1D2CCEF4" w14:textId="77777777" w:rsidTr="00003039">
                <w:trPr>
                  <w:tblCellSpacing w:w="15" w:type="dxa"/>
                </w:trPr>
                <w:tc>
                  <w:tcPr>
                    <w:tcW w:w="28" w:type="pct"/>
                    <w:hideMark/>
                  </w:tcPr>
                  <w:p w14:paraId="138D9F91"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7.</w:t>
                    </w:r>
                  </w:p>
                </w:tc>
                <w:tc>
                  <w:tcPr>
                    <w:tcW w:w="4922" w:type="pct"/>
                    <w:hideMark/>
                  </w:tcPr>
                  <w:p w14:paraId="3B2F35B9"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Espitia FJ, Orozco L. Prevalencia y caracterización clínica del hipotiroidismo, en gestantes del Eje Cafetero (Colombia), 2014-2017. Revista colombiana de endocrinología , diabetes y metabolismo Vol. 6 No. 4 (2019). 2019.</w:t>
                    </w:r>
                  </w:p>
                </w:tc>
              </w:tr>
              <w:tr w:rsidR="00143EDA" w:rsidRPr="00143EDA" w14:paraId="6355720B" w14:textId="77777777" w:rsidTr="00003039">
                <w:trPr>
                  <w:tblCellSpacing w:w="15" w:type="dxa"/>
                </w:trPr>
                <w:tc>
                  <w:tcPr>
                    <w:tcW w:w="28" w:type="pct"/>
                    <w:hideMark/>
                  </w:tcPr>
                  <w:p w14:paraId="5B0C2AD3"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8.</w:t>
                    </w:r>
                  </w:p>
                </w:tc>
                <w:tc>
                  <w:tcPr>
                    <w:tcW w:w="4922" w:type="pct"/>
                    <w:hideMark/>
                  </w:tcPr>
                  <w:p w14:paraId="7CD3C5BA"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San Martín JS, Martínez FL. Mecanismos fisiopatológicos del hipotiroidismo en la infertilidad femenina. Rev Chil Endo Diab 2022; 15(2). 2022;: p. 71-74.</w:t>
                    </w:r>
                  </w:p>
                </w:tc>
              </w:tr>
              <w:tr w:rsidR="00143EDA" w:rsidRPr="00143EDA" w14:paraId="7A3672E9" w14:textId="77777777" w:rsidTr="00003039">
                <w:trPr>
                  <w:tblCellSpacing w:w="15" w:type="dxa"/>
                </w:trPr>
                <w:tc>
                  <w:tcPr>
                    <w:tcW w:w="28" w:type="pct"/>
                    <w:hideMark/>
                  </w:tcPr>
                  <w:p w14:paraId="60050B67"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9.</w:t>
                    </w:r>
                  </w:p>
                </w:tc>
                <w:tc>
                  <w:tcPr>
                    <w:tcW w:w="4922" w:type="pct"/>
                    <w:hideMark/>
                  </w:tcPr>
                  <w:p w14:paraId="3C934E7A"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Hinojosa Rodríguez KA, Martínez Cruz N, Ortega González C, López Rioja MJ, Recio López Y, Sánchez González CM. Prevalencia de autoinmunidad tiroidea en mujeres subfértiles. Ginecol. obstet. Méx. vol.85 no.10. 2017.</w:t>
                    </w:r>
                  </w:p>
                </w:tc>
              </w:tr>
              <w:tr w:rsidR="00143EDA" w:rsidRPr="00143EDA" w14:paraId="560AAE35" w14:textId="77777777" w:rsidTr="00003039">
                <w:trPr>
                  <w:tblCellSpacing w:w="15" w:type="dxa"/>
                </w:trPr>
                <w:tc>
                  <w:tcPr>
                    <w:tcW w:w="28" w:type="pct"/>
                    <w:hideMark/>
                  </w:tcPr>
                  <w:p w14:paraId="15E3579F" w14:textId="28E6FF33" w:rsidR="00143EDA" w:rsidRPr="00143EDA" w:rsidRDefault="009E47F3" w:rsidP="00143EDA">
                    <w:pPr>
                      <w:pStyle w:val="Bibliografa"/>
                      <w:spacing w:line="276" w:lineRule="auto"/>
                      <w:jc w:val="both"/>
                      <w:rPr>
                        <w:rFonts w:cstheme="minorHAnsi"/>
                        <w:noProof/>
                        <w:sz w:val="24"/>
                        <w:szCs w:val="24"/>
                      </w:rPr>
                    </w:pPr>
                    <w:r>
                      <w:rPr>
                        <w:noProof/>
                      </w:rPr>
                      <w:lastRenderedPageBreak/>
                      <w:drawing>
                        <wp:anchor distT="0" distB="0" distL="0" distR="0" simplePos="0" relativeHeight="251694080" behindDoc="1" locked="0" layoutInCell="1" allowOverlap="1" wp14:anchorId="773E7C4D" wp14:editId="2D1302D9">
                          <wp:simplePos x="0" y="0"/>
                          <wp:positionH relativeFrom="page">
                            <wp:posOffset>-19049</wp:posOffset>
                          </wp:positionH>
                          <wp:positionV relativeFrom="page">
                            <wp:posOffset>-229870</wp:posOffset>
                          </wp:positionV>
                          <wp:extent cx="6057900" cy="9493768"/>
                          <wp:effectExtent l="0" t="0" r="0" b="0"/>
                          <wp:wrapNone/>
                          <wp:docPr id="143928692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6060032" cy="9497109"/>
                                  </a:xfrm>
                                  <a:prstGeom prst="rect">
                                    <a:avLst/>
                                  </a:prstGeom>
                                </pic:spPr>
                              </pic:pic>
                            </a:graphicData>
                          </a:graphic>
                          <wp14:sizeRelH relativeFrom="margin">
                            <wp14:pctWidth>0</wp14:pctWidth>
                          </wp14:sizeRelH>
                        </wp:anchor>
                      </w:drawing>
                    </w:r>
                    <w:r w:rsidR="00143EDA" w:rsidRPr="00143EDA">
                      <w:rPr>
                        <w:rFonts w:cstheme="minorHAnsi"/>
                        <w:noProof/>
                        <w:sz w:val="24"/>
                        <w:szCs w:val="24"/>
                      </w:rPr>
                      <w:t>10.</w:t>
                    </w:r>
                  </w:p>
                </w:tc>
                <w:tc>
                  <w:tcPr>
                    <w:tcW w:w="4922" w:type="pct"/>
                    <w:hideMark/>
                  </w:tcPr>
                  <w:p w14:paraId="4DA535B8" w14:textId="7740409E"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Prevalencia de autoinmunidad tiroidea en mujeres subfértiles. Ginecol Obstet Mex. 2017 octubre;85(10). 2017;: p. 694-704.</w:t>
                    </w:r>
                  </w:p>
                </w:tc>
              </w:tr>
              <w:tr w:rsidR="00143EDA" w:rsidRPr="00143EDA" w14:paraId="4E668970" w14:textId="77777777" w:rsidTr="00003039">
                <w:trPr>
                  <w:tblCellSpacing w:w="15" w:type="dxa"/>
                </w:trPr>
                <w:tc>
                  <w:tcPr>
                    <w:tcW w:w="28" w:type="pct"/>
                    <w:hideMark/>
                  </w:tcPr>
                  <w:p w14:paraId="72CA0357"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11.</w:t>
                    </w:r>
                  </w:p>
                </w:tc>
                <w:tc>
                  <w:tcPr>
                    <w:tcW w:w="4922" w:type="pct"/>
                    <w:hideMark/>
                  </w:tcPr>
                  <w:p w14:paraId="4AEF0383"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Grasa Ciria D. Intervención enfermera en gestantes sanas para la prevención del hipotiroidismo: Revisión bibliográfica. ; 2017.</w:t>
                    </w:r>
                  </w:p>
                </w:tc>
              </w:tr>
              <w:tr w:rsidR="00143EDA" w:rsidRPr="00143EDA" w14:paraId="4D786F6B" w14:textId="77777777" w:rsidTr="00003039">
                <w:trPr>
                  <w:tblCellSpacing w:w="15" w:type="dxa"/>
                </w:trPr>
                <w:tc>
                  <w:tcPr>
                    <w:tcW w:w="28" w:type="pct"/>
                    <w:hideMark/>
                  </w:tcPr>
                  <w:p w14:paraId="4EB36727"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12.</w:t>
                    </w:r>
                  </w:p>
                </w:tc>
                <w:tc>
                  <w:tcPr>
                    <w:tcW w:w="4922" w:type="pct"/>
                    <w:hideMark/>
                  </w:tcPr>
                  <w:p w14:paraId="5389185C"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Silva Cordova KD, Alvarado Quinto AD. Detección temprana de aborto en mujeres de edad fertil. ; 2019.</w:t>
                    </w:r>
                  </w:p>
                </w:tc>
              </w:tr>
              <w:tr w:rsidR="00143EDA" w:rsidRPr="00143EDA" w14:paraId="343CA274" w14:textId="77777777" w:rsidTr="00003039">
                <w:trPr>
                  <w:tblCellSpacing w:w="15" w:type="dxa"/>
                </w:trPr>
                <w:tc>
                  <w:tcPr>
                    <w:tcW w:w="28" w:type="pct"/>
                    <w:hideMark/>
                  </w:tcPr>
                  <w:p w14:paraId="2057283A"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13.</w:t>
                    </w:r>
                  </w:p>
                </w:tc>
                <w:tc>
                  <w:tcPr>
                    <w:tcW w:w="4922" w:type="pct"/>
                    <w:hideMark/>
                  </w:tcPr>
                  <w:p w14:paraId="4AAEF011"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Villagómez Torres DE. Prevalencia de hipotiroidismo subclínico mediante el uso del test de valoración sintomatológico de función tiroidea y correlación con alteraciones de niveles séricos de hormona estimulante de la tiroides en adultos jóvenes que acuden al banco de sangre de. Quito:; 2021.</w:t>
                    </w:r>
                  </w:p>
                </w:tc>
              </w:tr>
              <w:tr w:rsidR="00143EDA" w:rsidRPr="00143EDA" w14:paraId="29574B57" w14:textId="77777777" w:rsidTr="00003039">
                <w:trPr>
                  <w:tblCellSpacing w:w="15" w:type="dxa"/>
                </w:trPr>
                <w:tc>
                  <w:tcPr>
                    <w:tcW w:w="28" w:type="pct"/>
                    <w:hideMark/>
                  </w:tcPr>
                  <w:p w14:paraId="153113A9"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14.</w:t>
                    </w:r>
                  </w:p>
                </w:tc>
                <w:tc>
                  <w:tcPr>
                    <w:tcW w:w="4922" w:type="pct"/>
                    <w:hideMark/>
                  </w:tcPr>
                  <w:p w14:paraId="16CBF3DE"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Gerardo G. Alteraciones endocrinas vinculadas a la prescripción médica de carbonato de litio. Una revisión narrativa. Psiquitria Colombiana. 2019; 48(1).</w:t>
                    </w:r>
                  </w:p>
                </w:tc>
              </w:tr>
              <w:tr w:rsidR="00143EDA" w:rsidRPr="00143EDA" w14:paraId="6F298846" w14:textId="77777777" w:rsidTr="00003039">
                <w:trPr>
                  <w:tblCellSpacing w:w="15" w:type="dxa"/>
                </w:trPr>
                <w:tc>
                  <w:tcPr>
                    <w:tcW w:w="28" w:type="pct"/>
                    <w:hideMark/>
                  </w:tcPr>
                  <w:p w14:paraId="14F20B38"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15.</w:t>
                    </w:r>
                  </w:p>
                </w:tc>
                <w:tc>
                  <w:tcPr>
                    <w:tcW w:w="4922" w:type="pct"/>
                    <w:hideMark/>
                  </w:tcPr>
                  <w:p w14:paraId="24A5292E"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García Escovar CA. Determinación social del hipotiroidismo subclínico en niños, niñas y jóvenes de la ciudad de Manta-Ecuador, año lectivo 2017-2018. Quito:; 2019.</w:t>
                    </w:r>
                  </w:p>
                </w:tc>
              </w:tr>
              <w:tr w:rsidR="00143EDA" w:rsidRPr="00143EDA" w14:paraId="427E4B4A" w14:textId="77777777" w:rsidTr="00003039">
                <w:trPr>
                  <w:tblCellSpacing w:w="15" w:type="dxa"/>
                </w:trPr>
                <w:tc>
                  <w:tcPr>
                    <w:tcW w:w="28" w:type="pct"/>
                    <w:hideMark/>
                  </w:tcPr>
                  <w:p w14:paraId="275DD8F9"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16.</w:t>
                    </w:r>
                  </w:p>
                </w:tc>
                <w:tc>
                  <w:tcPr>
                    <w:tcW w:w="4922" w:type="pct"/>
                    <w:hideMark/>
                  </w:tcPr>
                  <w:p w14:paraId="56597F87"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Nuñez N. Hipotiroidismo en el embarazo. Costa Rica y Centro Americana. 2016; LXXIII (620) (637): p. 640, 2016.</w:t>
                    </w:r>
                  </w:p>
                </w:tc>
              </w:tr>
              <w:tr w:rsidR="00143EDA" w:rsidRPr="00143EDA" w14:paraId="3BC80789" w14:textId="77777777" w:rsidTr="00003039">
                <w:trPr>
                  <w:tblCellSpacing w:w="15" w:type="dxa"/>
                </w:trPr>
                <w:tc>
                  <w:tcPr>
                    <w:tcW w:w="28" w:type="pct"/>
                    <w:hideMark/>
                  </w:tcPr>
                  <w:p w14:paraId="021B2948"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17.</w:t>
                    </w:r>
                  </w:p>
                </w:tc>
                <w:tc>
                  <w:tcPr>
                    <w:tcW w:w="4922" w:type="pct"/>
                    <w:hideMark/>
                  </w:tcPr>
                  <w:p w14:paraId="670B6900"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Aldas Vargas CA, Garcés Bravo JE, Ferrín Zambrano NI. Hipotiroidismo: actualización en pruebas de laboratorio y tratamiento. Dominio de las ciencias Vol. 7, núm. 5. 2021.</w:t>
                    </w:r>
                  </w:p>
                </w:tc>
              </w:tr>
              <w:tr w:rsidR="00143EDA" w:rsidRPr="00143EDA" w14:paraId="1C6781C2" w14:textId="77777777" w:rsidTr="00003039">
                <w:trPr>
                  <w:tblCellSpacing w:w="15" w:type="dxa"/>
                </w:trPr>
                <w:tc>
                  <w:tcPr>
                    <w:tcW w:w="28" w:type="pct"/>
                    <w:hideMark/>
                  </w:tcPr>
                  <w:p w14:paraId="03D5D7C8"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18.</w:t>
                    </w:r>
                  </w:p>
                </w:tc>
                <w:tc>
                  <w:tcPr>
                    <w:tcW w:w="4922" w:type="pct"/>
                    <w:hideMark/>
                  </w:tcPr>
                  <w:p w14:paraId="3DC3D24C"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Yagual Quinde ME. Infertilidad en mujeres de 25 a 35 años asocidas s hipotiroidismo. ; 2020.</w:t>
                    </w:r>
                  </w:p>
                </w:tc>
              </w:tr>
              <w:tr w:rsidR="00143EDA" w:rsidRPr="00143EDA" w14:paraId="5325E96F" w14:textId="77777777" w:rsidTr="00003039">
                <w:trPr>
                  <w:tblCellSpacing w:w="15" w:type="dxa"/>
                </w:trPr>
                <w:tc>
                  <w:tcPr>
                    <w:tcW w:w="28" w:type="pct"/>
                    <w:hideMark/>
                  </w:tcPr>
                  <w:p w14:paraId="49E9A247"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19.</w:t>
                    </w:r>
                  </w:p>
                </w:tc>
                <w:tc>
                  <w:tcPr>
                    <w:tcW w:w="4922" w:type="pct"/>
                    <w:hideMark/>
                  </w:tcPr>
                  <w:p w14:paraId="23035D7A"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Lugo Montoya SF, García Pérez LU, Domínguez Morales E, Martínez Hernández CM. Prevalencia de hipotiroidismo subclínico en mujeres con infertilidad en un hospital de tercer nivel. Horiz. sanitario vol.18 no.3 Villahermosa sep./dic. 2019. 2019.</w:t>
                    </w:r>
                  </w:p>
                </w:tc>
              </w:tr>
              <w:tr w:rsidR="00143EDA" w:rsidRPr="00143EDA" w14:paraId="0892A6E4" w14:textId="77777777" w:rsidTr="00003039">
                <w:trPr>
                  <w:tblCellSpacing w:w="15" w:type="dxa"/>
                </w:trPr>
                <w:tc>
                  <w:tcPr>
                    <w:tcW w:w="28" w:type="pct"/>
                    <w:hideMark/>
                  </w:tcPr>
                  <w:p w14:paraId="7079388A"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20.</w:t>
                    </w:r>
                  </w:p>
                </w:tc>
                <w:tc>
                  <w:tcPr>
                    <w:tcW w:w="4922" w:type="pct"/>
                    <w:hideMark/>
                  </w:tcPr>
                  <w:p w14:paraId="757AF194"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Pereda Ríos A, Rey Míguez M, Díaz Gómez M, Sola Rodríguez A, Dopico Vázquez D, Freire Calvo C, et al. ¿Es necesario el cribado universal de las alteraciones tiroideas en las parejas con disfunción reproductiva? Prog Obstet Ginecol. 2017;60(3). 2017;: p. 203-207.</w:t>
                    </w:r>
                  </w:p>
                </w:tc>
              </w:tr>
              <w:tr w:rsidR="00143EDA" w:rsidRPr="00143EDA" w14:paraId="57E71624" w14:textId="77777777" w:rsidTr="00003039">
                <w:trPr>
                  <w:tblCellSpacing w:w="15" w:type="dxa"/>
                </w:trPr>
                <w:tc>
                  <w:tcPr>
                    <w:tcW w:w="28" w:type="pct"/>
                    <w:hideMark/>
                  </w:tcPr>
                  <w:p w14:paraId="7D19307F"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21.</w:t>
                    </w:r>
                  </w:p>
                </w:tc>
                <w:tc>
                  <w:tcPr>
                    <w:tcW w:w="4922" w:type="pct"/>
                    <w:hideMark/>
                  </w:tcPr>
                  <w:p w14:paraId="4A6676C4"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Patiño Mora DA, Ramirez Romero JE. Frecuencia de hipotiroidismo gestantes con o sin Factores de riesgo. Guayaquil:; 2020.</w:t>
                    </w:r>
                  </w:p>
                </w:tc>
              </w:tr>
              <w:tr w:rsidR="00143EDA" w:rsidRPr="00143EDA" w14:paraId="722E8461" w14:textId="77777777" w:rsidTr="00003039">
                <w:trPr>
                  <w:tblCellSpacing w:w="15" w:type="dxa"/>
                </w:trPr>
                <w:tc>
                  <w:tcPr>
                    <w:tcW w:w="28" w:type="pct"/>
                    <w:hideMark/>
                  </w:tcPr>
                  <w:p w14:paraId="57495438"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22.</w:t>
                    </w:r>
                  </w:p>
                </w:tc>
                <w:tc>
                  <w:tcPr>
                    <w:tcW w:w="4922" w:type="pct"/>
                    <w:hideMark/>
                  </w:tcPr>
                  <w:p w14:paraId="3330CCD3"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Arauco I, Sgarbossa N, Ariel Franco JV. Hipotiroidismo subclínico en mujeres en edad reproductiva y embarazadas. Revista Evidencia Vol. 22 Núm. 4 (2019). 2019.</w:t>
                    </w:r>
                  </w:p>
                </w:tc>
              </w:tr>
              <w:tr w:rsidR="00143EDA" w:rsidRPr="00143EDA" w14:paraId="7BDE1669" w14:textId="77777777" w:rsidTr="00003039">
                <w:trPr>
                  <w:tblCellSpacing w:w="15" w:type="dxa"/>
                </w:trPr>
                <w:tc>
                  <w:tcPr>
                    <w:tcW w:w="28" w:type="pct"/>
                    <w:hideMark/>
                  </w:tcPr>
                  <w:p w14:paraId="7D99733F"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23.</w:t>
                    </w:r>
                  </w:p>
                </w:tc>
                <w:tc>
                  <w:tcPr>
                    <w:tcW w:w="4922" w:type="pct"/>
                    <w:hideMark/>
                  </w:tcPr>
                  <w:p w14:paraId="22C19DAE" w14:textId="77777777" w:rsid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Jiménez Ibañez LC, Conde Gutiérrez YdS, Torres Trejo JA. Hipotiroidismo asociado con infertilidad en mujeres en edad reproductiva. Ginecología y Obstetricia de México 2020 mayo;88(5). 2020;: p. 321-329.</w:t>
                    </w:r>
                  </w:p>
                  <w:p w14:paraId="195D2FCA" w14:textId="77777777" w:rsidR="009E47F3" w:rsidRDefault="009E47F3" w:rsidP="009E47F3"/>
                  <w:p w14:paraId="02E73B64" w14:textId="77777777" w:rsidR="009E47F3" w:rsidRPr="009E47F3" w:rsidRDefault="009E47F3" w:rsidP="009E47F3"/>
                </w:tc>
              </w:tr>
              <w:tr w:rsidR="00143EDA" w:rsidRPr="00143EDA" w14:paraId="67710714" w14:textId="77777777" w:rsidTr="00003039">
                <w:trPr>
                  <w:tblCellSpacing w:w="15" w:type="dxa"/>
                </w:trPr>
                <w:tc>
                  <w:tcPr>
                    <w:tcW w:w="28" w:type="pct"/>
                    <w:hideMark/>
                  </w:tcPr>
                  <w:p w14:paraId="120EA4FF"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lastRenderedPageBreak/>
                      <w:t>24.</w:t>
                    </w:r>
                  </w:p>
                </w:tc>
                <w:tc>
                  <w:tcPr>
                    <w:tcW w:w="4922" w:type="pct"/>
                    <w:hideMark/>
                  </w:tcPr>
                  <w:p w14:paraId="56DC95F0" w14:textId="4678F1F4"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Álvarez CA, Rodríguez A. JM, Salas BA. Abordaje del hipotiroidismo subclínico en el adulto. Revista Médica Sinergia 2020, Número 02. 2020.</w:t>
                    </w:r>
                  </w:p>
                </w:tc>
              </w:tr>
              <w:tr w:rsidR="00143EDA" w:rsidRPr="00143EDA" w14:paraId="070076DE" w14:textId="77777777" w:rsidTr="00003039">
                <w:trPr>
                  <w:tblCellSpacing w:w="15" w:type="dxa"/>
                </w:trPr>
                <w:tc>
                  <w:tcPr>
                    <w:tcW w:w="28" w:type="pct"/>
                    <w:hideMark/>
                  </w:tcPr>
                  <w:p w14:paraId="762983DF" w14:textId="3DFB5C66"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25.</w:t>
                    </w:r>
                  </w:p>
                </w:tc>
                <w:tc>
                  <w:tcPr>
                    <w:tcW w:w="4922" w:type="pct"/>
                    <w:hideMark/>
                  </w:tcPr>
                  <w:p w14:paraId="31B4FAA6"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Ponce Loor A. Hipotiroidismo en pacientes del Centro de Especialidades Médicas; IESS-La Libertad. REVISTA DE SALUD VIVE Vol. 4 Núm. 11 (2021). 2021.</w:t>
                    </w:r>
                  </w:p>
                </w:tc>
              </w:tr>
              <w:tr w:rsidR="00143EDA" w:rsidRPr="00143EDA" w14:paraId="7C82E6BC" w14:textId="77777777" w:rsidTr="00003039">
                <w:trPr>
                  <w:tblCellSpacing w:w="15" w:type="dxa"/>
                </w:trPr>
                <w:tc>
                  <w:tcPr>
                    <w:tcW w:w="28" w:type="pct"/>
                    <w:hideMark/>
                  </w:tcPr>
                  <w:p w14:paraId="37DCDDD8"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26.</w:t>
                    </w:r>
                  </w:p>
                </w:tc>
                <w:tc>
                  <w:tcPr>
                    <w:tcW w:w="4922" w:type="pct"/>
                    <w:hideMark/>
                  </w:tcPr>
                  <w:p w14:paraId="2F376DFA"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Peña Vélez R, Reynoso Castorena JM, Espinosa Flores L, Balanzar Depraect JL, Gil Vargas M. Pseudo-obstrucción intestinal: una presentación poco frecuente de hipotiroidismo congénito. Rev Gastroenterol Mex. 2022 May 12. 2022.</w:t>
                    </w:r>
                  </w:p>
                </w:tc>
              </w:tr>
              <w:tr w:rsidR="00143EDA" w:rsidRPr="00143EDA" w14:paraId="0CF57BDE" w14:textId="77777777" w:rsidTr="00003039">
                <w:trPr>
                  <w:tblCellSpacing w:w="15" w:type="dxa"/>
                </w:trPr>
                <w:tc>
                  <w:tcPr>
                    <w:tcW w:w="28" w:type="pct"/>
                    <w:hideMark/>
                  </w:tcPr>
                  <w:p w14:paraId="44DAAF1C"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27.</w:t>
                    </w:r>
                  </w:p>
                </w:tc>
                <w:tc>
                  <w:tcPr>
                    <w:tcW w:w="4922" w:type="pct"/>
                    <w:hideMark/>
                  </w:tcPr>
                  <w:p w14:paraId="147CA5E8"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Iglesias Rosales EC. Frecuencia de hipotiroidismo en embarazadas. Cuernavaca:; 2020.</w:t>
                    </w:r>
                  </w:p>
                </w:tc>
              </w:tr>
              <w:tr w:rsidR="00143EDA" w:rsidRPr="00143EDA" w14:paraId="09B9BB19" w14:textId="77777777" w:rsidTr="00003039">
                <w:trPr>
                  <w:tblCellSpacing w:w="15" w:type="dxa"/>
                </w:trPr>
                <w:tc>
                  <w:tcPr>
                    <w:tcW w:w="28" w:type="pct"/>
                    <w:hideMark/>
                  </w:tcPr>
                  <w:p w14:paraId="409DAB2C"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28.</w:t>
                    </w:r>
                  </w:p>
                </w:tc>
                <w:tc>
                  <w:tcPr>
                    <w:tcW w:w="4922" w:type="pct"/>
                    <w:hideMark/>
                  </w:tcPr>
                  <w:p w14:paraId="7BBC814F"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Mena Montoya BO, Meneces Urgilés SI. Prevención y complicaciones del hipotiroidismo en gestantes. Hospital Instituto Ecuatoriano de Seguridad Social. Riobamba. 2020. Riobamba:; 2021.</w:t>
                    </w:r>
                  </w:p>
                </w:tc>
              </w:tr>
              <w:tr w:rsidR="00143EDA" w:rsidRPr="00143EDA" w14:paraId="61A3B477" w14:textId="77777777" w:rsidTr="00003039">
                <w:trPr>
                  <w:tblCellSpacing w:w="15" w:type="dxa"/>
                </w:trPr>
                <w:tc>
                  <w:tcPr>
                    <w:tcW w:w="28" w:type="pct"/>
                    <w:hideMark/>
                  </w:tcPr>
                  <w:p w14:paraId="354B6A40"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29.</w:t>
                    </w:r>
                  </w:p>
                </w:tc>
                <w:tc>
                  <w:tcPr>
                    <w:tcW w:w="4922" w:type="pct"/>
                    <w:hideMark/>
                  </w:tcPr>
                  <w:p w14:paraId="2937ED9F"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Macchia de Sánchez CL, Sánchez Flórez JA. Inmuología de la tiroides en la gestación y el posparto. Perinatol Reprod Hum. 2019;33. 2019.</w:t>
                    </w:r>
                  </w:p>
                </w:tc>
              </w:tr>
              <w:tr w:rsidR="00143EDA" w:rsidRPr="00143EDA" w14:paraId="7C529B89" w14:textId="77777777" w:rsidTr="00003039">
                <w:trPr>
                  <w:tblCellSpacing w:w="15" w:type="dxa"/>
                </w:trPr>
                <w:tc>
                  <w:tcPr>
                    <w:tcW w:w="28" w:type="pct"/>
                    <w:hideMark/>
                  </w:tcPr>
                  <w:p w14:paraId="604F32EA"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30.</w:t>
                    </w:r>
                  </w:p>
                </w:tc>
                <w:tc>
                  <w:tcPr>
                    <w:tcW w:w="4922" w:type="pct"/>
                    <w:hideMark/>
                  </w:tcPr>
                  <w:p w14:paraId="5961143F"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Valle Pimienta T, Lago Díaz Y, Rosales Álvarez G, Breña Pérez Y, Ordaz Díaz S, Pérez Aguado A. Infertilidad e hipotiroidismo subclínico. Archivo Médico Camagüey Vol. 24, No. 4 (2020). 2020.</w:t>
                    </w:r>
                  </w:p>
                </w:tc>
              </w:tr>
              <w:tr w:rsidR="00143EDA" w:rsidRPr="00143EDA" w14:paraId="5295C7C7" w14:textId="77777777" w:rsidTr="00003039">
                <w:trPr>
                  <w:tblCellSpacing w:w="15" w:type="dxa"/>
                </w:trPr>
                <w:tc>
                  <w:tcPr>
                    <w:tcW w:w="28" w:type="pct"/>
                    <w:hideMark/>
                  </w:tcPr>
                  <w:p w14:paraId="0825D122"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31.</w:t>
                    </w:r>
                  </w:p>
                </w:tc>
                <w:tc>
                  <w:tcPr>
                    <w:tcW w:w="4922" w:type="pct"/>
                    <w:hideMark/>
                  </w:tcPr>
                  <w:p w14:paraId="2DD4AA4B"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Ahsan Akhtar M, Agrawal R, Brown J, Sajjad Y, Craciunas L. Reemplazo de tiroxina para mujeres subfértiles con enfermedad tiroidea autoinmune eutiroidea o hipotiroidismo subclínico. Base de datos Cochrane de Revisiones Sistemáticas. 2019.</w:t>
                    </w:r>
                  </w:p>
                </w:tc>
              </w:tr>
              <w:tr w:rsidR="00143EDA" w:rsidRPr="00143EDA" w14:paraId="7FF94A30" w14:textId="77777777" w:rsidTr="00003039">
                <w:trPr>
                  <w:tblCellSpacing w:w="15" w:type="dxa"/>
                </w:trPr>
                <w:tc>
                  <w:tcPr>
                    <w:tcW w:w="28" w:type="pct"/>
                    <w:hideMark/>
                  </w:tcPr>
                  <w:p w14:paraId="571DF08A"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rPr>
                      <w:t>32.</w:t>
                    </w:r>
                  </w:p>
                </w:tc>
                <w:tc>
                  <w:tcPr>
                    <w:tcW w:w="4922" w:type="pct"/>
                    <w:hideMark/>
                  </w:tcPr>
                  <w:p w14:paraId="32A1B068" w14:textId="77777777" w:rsidR="00143EDA" w:rsidRPr="00143EDA" w:rsidRDefault="00143EDA" w:rsidP="00143EDA">
                    <w:pPr>
                      <w:pStyle w:val="Bibliografa"/>
                      <w:spacing w:line="276" w:lineRule="auto"/>
                      <w:jc w:val="both"/>
                      <w:rPr>
                        <w:rFonts w:cstheme="minorHAnsi"/>
                        <w:noProof/>
                        <w:sz w:val="24"/>
                        <w:szCs w:val="24"/>
                      </w:rPr>
                    </w:pPr>
                    <w:r w:rsidRPr="00143EDA">
                      <w:rPr>
                        <w:rFonts w:cstheme="minorHAnsi"/>
                        <w:noProof/>
                        <w:sz w:val="24"/>
                        <w:szCs w:val="24"/>
                        <w:lang w:val="en-US"/>
                      </w:rPr>
                      <w:t xml:space="preserve">Tatnai Burnett MD. Mayo. [Online].; 2024 [cited 2024 julio. </w:t>
                    </w:r>
                    <w:r w:rsidRPr="00143EDA">
                      <w:rPr>
                        <w:rFonts w:cstheme="minorHAnsi"/>
                        <w:noProof/>
                        <w:sz w:val="24"/>
                        <w:szCs w:val="24"/>
                      </w:rPr>
                      <w:t xml:space="preserve">Available from: </w:t>
                    </w:r>
                    <w:hyperlink r:id="rId17" w:history="1">
                      <w:r w:rsidRPr="00143EDA">
                        <w:rPr>
                          <w:rStyle w:val="Hipervnculo"/>
                          <w:rFonts w:cstheme="minorHAnsi"/>
                          <w:noProof/>
                          <w:sz w:val="24"/>
                          <w:szCs w:val="24"/>
                        </w:rPr>
                        <w:t>https://www.mayoclinic.org/es/diseases-conditions/female-infertility/expert-answers/hypothyroidism-and-infertility/faq-20058311</w:t>
                      </w:r>
                    </w:hyperlink>
                    <w:r w:rsidRPr="00143EDA">
                      <w:rPr>
                        <w:rFonts w:cstheme="minorHAnsi"/>
                        <w:noProof/>
                        <w:sz w:val="24"/>
                        <w:szCs w:val="24"/>
                      </w:rPr>
                      <w:t>.</w:t>
                    </w:r>
                  </w:p>
                </w:tc>
              </w:tr>
            </w:tbl>
            <w:bookmarkEnd w:id="6"/>
            <w:p w14:paraId="19A00D6C" w14:textId="6F1499E8" w:rsidR="00143EDA" w:rsidRPr="00143EDA" w:rsidRDefault="009E47F3" w:rsidP="00143EDA">
              <w:pPr>
                <w:pStyle w:val="Bibliografa"/>
                <w:spacing w:line="276" w:lineRule="auto"/>
                <w:jc w:val="both"/>
                <w:rPr>
                  <w:rFonts w:cstheme="minorHAnsi"/>
                  <w:noProof/>
                  <w:vanish/>
                  <w:sz w:val="24"/>
                  <w:szCs w:val="24"/>
                </w:rPr>
              </w:pPr>
              <w:r>
                <w:rPr>
                  <w:noProof/>
                </w:rPr>
                <w:drawing>
                  <wp:anchor distT="0" distB="0" distL="0" distR="0" simplePos="0" relativeHeight="251706368" behindDoc="1" locked="0" layoutInCell="1" allowOverlap="1" wp14:anchorId="5DEC294F" wp14:editId="599686B9">
                    <wp:simplePos x="0" y="0"/>
                    <wp:positionH relativeFrom="page">
                      <wp:posOffset>786765</wp:posOffset>
                    </wp:positionH>
                    <wp:positionV relativeFrom="page">
                      <wp:posOffset>823595</wp:posOffset>
                    </wp:positionV>
                    <wp:extent cx="6057900" cy="9493768"/>
                    <wp:effectExtent l="0" t="0" r="0" b="0"/>
                    <wp:wrapNone/>
                    <wp:docPr id="21185241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6057900" cy="9493768"/>
                            </a:xfrm>
                            <a:prstGeom prst="rect">
                              <a:avLst/>
                            </a:prstGeom>
                          </pic:spPr>
                        </pic:pic>
                      </a:graphicData>
                    </a:graphic>
                    <wp14:sizeRelH relativeFrom="margin">
                      <wp14:pctWidth>0</wp14:pctWidth>
                    </wp14:sizeRelH>
                  </wp:anchor>
                </w:drawing>
              </w:r>
              <w:r w:rsidR="00143EDA" w:rsidRPr="00143EDA">
                <w:rPr>
                  <w:rFonts w:cstheme="minorHAnsi"/>
                  <w:noProof/>
                  <w:vanish/>
                  <w:sz w:val="24"/>
                  <w:szCs w:val="24"/>
                </w:rPr>
                <w:t>x</w:t>
              </w:r>
            </w:p>
            <w:p w14:paraId="2C2FB6FC" w14:textId="77777777" w:rsidR="00143EDA" w:rsidRDefault="00143EDA" w:rsidP="00143EDA">
              <w:pPr>
                <w:spacing w:line="276" w:lineRule="auto"/>
                <w:jc w:val="both"/>
              </w:pPr>
              <w:r w:rsidRPr="00143EDA">
                <w:rPr>
                  <w:rFonts w:asciiTheme="minorHAnsi" w:hAnsiTheme="minorHAnsi" w:cstheme="minorHAnsi"/>
                  <w:b/>
                  <w:bCs/>
                  <w:sz w:val="24"/>
                  <w:szCs w:val="24"/>
                </w:rPr>
                <w:fldChar w:fldCharType="end"/>
              </w:r>
            </w:p>
          </w:sdtContent>
        </w:sdt>
      </w:sdtContent>
    </w:sdt>
    <w:p w14:paraId="3D8BB7B7" w14:textId="77777777" w:rsidR="00143EDA" w:rsidRPr="00C1701B" w:rsidRDefault="00143EDA" w:rsidP="00143EDA">
      <w:pPr>
        <w:jc w:val="both"/>
        <w:rPr>
          <w:rFonts w:asciiTheme="majorHAnsi" w:hAnsiTheme="majorHAnsi" w:cstheme="majorHAnsi"/>
        </w:rPr>
      </w:pPr>
    </w:p>
    <w:p w14:paraId="62B8BDC9" w14:textId="77777777" w:rsidR="00143EDA" w:rsidRPr="00546E4A" w:rsidRDefault="00143EDA" w:rsidP="002C2DFC">
      <w:pPr>
        <w:jc w:val="both"/>
        <w:rPr>
          <w:rFonts w:asciiTheme="majorHAnsi" w:hAnsiTheme="majorHAnsi" w:cstheme="majorHAnsi"/>
          <w:color w:val="000000" w:themeColor="text1"/>
          <w:sz w:val="24"/>
          <w:szCs w:val="24"/>
        </w:rPr>
      </w:pPr>
    </w:p>
    <w:bookmarkEnd w:id="5"/>
    <w:p w14:paraId="674481CF" w14:textId="77777777" w:rsidR="002C2DFC" w:rsidRDefault="002C2DFC" w:rsidP="002C2DFC">
      <w:pPr>
        <w:jc w:val="both"/>
        <w:rPr>
          <w:rFonts w:asciiTheme="majorHAnsi" w:hAnsiTheme="majorHAnsi" w:cstheme="majorHAnsi"/>
        </w:rPr>
      </w:pPr>
    </w:p>
    <w:p w14:paraId="452BDBE9" w14:textId="55D81F69" w:rsidR="00B73F43" w:rsidRPr="00CE315E" w:rsidRDefault="00B73F43" w:rsidP="002C2DFC">
      <w:pPr>
        <w:spacing w:line="276" w:lineRule="auto"/>
        <w:jc w:val="both"/>
        <w:rPr>
          <w:rFonts w:asciiTheme="minorHAnsi" w:eastAsia="Times New Roman" w:hAnsiTheme="minorHAnsi" w:cstheme="minorHAnsi"/>
          <w:sz w:val="24"/>
          <w:szCs w:val="24"/>
          <w:lang w:eastAsia="es-ES"/>
        </w:rPr>
      </w:pPr>
    </w:p>
    <w:p w14:paraId="2DE684E1" w14:textId="2FDA2F9D" w:rsidR="00B73F43" w:rsidRPr="00CE315E" w:rsidRDefault="00B73F43" w:rsidP="00CE315E">
      <w:pPr>
        <w:spacing w:line="276" w:lineRule="auto"/>
        <w:jc w:val="both"/>
        <w:rPr>
          <w:rFonts w:asciiTheme="minorHAnsi" w:eastAsia="Times New Roman" w:hAnsiTheme="minorHAnsi" w:cstheme="minorHAnsi"/>
          <w:b/>
          <w:bCs/>
          <w:sz w:val="24"/>
          <w:szCs w:val="24"/>
          <w:lang w:eastAsia="es-ES"/>
        </w:rPr>
        <w:sectPr w:rsidR="00B73F43" w:rsidRPr="00CE315E">
          <w:type w:val="continuous"/>
          <w:pgSz w:w="11910" w:h="16840"/>
          <w:pgMar w:top="1580" w:right="1320" w:bottom="280" w:left="1200" w:header="720" w:footer="720" w:gutter="0"/>
          <w:cols w:space="720"/>
        </w:sectPr>
      </w:pPr>
    </w:p>
    <w:p w14:paraId="73DEC4A8" w14:textId="77777777" w:rsidR="00922A19" w:rsidRPr="00CE315E" w:rsidRDefault="00922A19" w:rsidP="00CE315E">
      <w:pPr>
        <w:widowControl/>
        <w:autoSpaceDE/>
        <w:autoSpaceDN/>
        <w:spacing w:before="120" w:after="120" w:line="276" w:lineRule="auto"/>
        <w:contextualSpacing/>
        <w:jc w:val="both"/>
        <w:rPr>
          <w:rFonts w:asciiTheme="minorHAnsi" w:eastAsia="Times New Roman" w:hAnsiTheme="minorHAnsi" w:cstheme="minorHAnsi"/>
          <w:b/>
          <w:bCs/>
          <w:sz w:val="24"/>
          <w:szCs w:val="24"/>
          <w:lang w:eastAsia="es-ES"/>
        </w:rPr>
      </w:pPr>
    </w:p>
    <w:p w14:paraId="4F1E6DE4" w14:textId="77777777" w:rsidR="00922A19" w:rsidRPr="00CE315E" w:rsidRDefault="00922A19" w:rsidP="00CE315E">
      <w:pPr>
        <w:widowControl/>
        <w:autoSpaceDE/>
        <w:autoSpaceDN/>
        <w:spacing w:before="120" w:after="120" w:line="276" w:lineRule="auto"/>
        <w:contextualSpacing/>
        <w:jc w:val="both"/>
        <w:rPr>
          <w:rFonts w:asciiTheme="minorHAnsi" w:eastAsia="Times New Roman" w:hAnsiTheme="minorHAnsi" w:cstheme="minorHAnsi"/>
          <w:b/>
          <w:bCs/>
          <w:sz w:val="24"/>
          <w:szCs w:val="24"/>
          <w:lang w:eastAsia="es-ES"/>
        </w:rPr>
      </w:pPr>
    </w:p>
    <w:p w14:paraId="077F8C25" w14:textId="77777777" w:rsidR="00B73F43" w:rsidRPr="00CE315E" w:rsidRDefault="00B73F43" w:rsidP="00CE315E">
      <w:pPr>
        <w:pStyle w:val="Textoindependiente"/>
        <w:spacing w:before="5" w:line="276" w:lineRule="auto"/>
        <w:jc w:val="both"/>
        <w:rPr>
          <w:rFonts w:asciiTheme="minorHAnsi" w:hAnsiTheme="minorHAnsi" w:cstheme="minorHAnsi"/>
        </w:rPr>
      </w:pPr>
    </w:p>
    <w:sectPr w:rsidR="00B73F43" w:rsidRPr="00CE315E">
      <w:pgSz w:w="11910" w:h="16840"/>
      <w:pgMar w:top="1580" w:right="13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C4D877" w14:textId="77777777" w:rsidR="00030CDA" w:rsidRDefault="00030CDA" w:rsidP="00143EDA">
      <w:r>
        <w:separator/>
      </w:r>
    </w:p>
  </w:endnote>
  <w:endnote w:type="continuationSeparator" w:id="0">
    <w:p w14:paraId="7A598B12" w14:textId="77777777" w:rsidR="00030CDA" w:rsidRDefault="00030CDA" w:rsidP="00143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586419" w14:textId="77777777" w:rsidR="00030CDA" w:rsidRDefault="00030CDA" w:rsidP="00143EDA">
      <w:r>
        <w:separator/>
      </w:r>
    </w:p>
  </w:footnote>
  <w:footnote w:type="continuationSeparator" w:id="0">
    <w:p w14:paraId="365EC0D2" w14:textId="77777777" w:rsidR="00030CDA" w:rsidRDefault="00030CDA" w:rsidP="00143E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874E0"/>
    <w:multiLevelType w:val="hybridMultilevel"/>
    <w:tmpl w:val="F4642E70"/>
    <w:lvl w:ilvl="0" w:tplc="2E889A5A">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4F17A2"/>
    <w:multiLevelType w:val="hybridMultilevel"/>
    <w:tmpl w:val="AB8A6C5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FB24171"/>
    <w:multiLevelType w:val="hybridMultilevel"/>
    <w:tmpl w:val="196A447C"/>
    <w:lvl w:ilvl="0" w:tplc="AA44A48C">
      <w:start w:val="6"/>
      <w:numFmt w:val="decimal"/>
      <w:lvlText w:val="%1."/>
      <w:lvlJc w:val="left"/>
      <w:pPr>
        <w:ind w:left="720" w:hanging="360"/>
      </w:pPr>
      <w:rPr>
        <w:rFonts w:hint="default"/>
        <w:b/>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12404D81"/>
    <w:multiLevelType w:val="hybridMultilevel"/>
    <w:tmpl w:val="F6D01288"/>
    <w:lvl w:ilvl="0" w:tplc="300A000F">
      <w:start w:val="36"/>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5" w15:restartNumberingAfterBreak="0">
    <w:nsid w:val="20DB1A18"/>
    <w:multiLevelType w:val="hybridMultilevel"/>
    <w:tmpl w:val="863E902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2A5A7414"/>
    <w:multiLevelType w:val="hybridMultilevel"/>
    <w:tmpl w:val="0642918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2B505691"/>
    <w:multiLevelType w:val="hybridMultilevel"/>
    <w:tmpl w:val="A65A3DD6"/>
    <w:lvl w:ilvl="0" w:tplc="300A000F">
      <w:start w:val="34"/>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10"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558E7C20"/>
    <w:multiLevelType w:val="hybridMultilevel"/>
    <w:tmpl w:val="A00EA994"/>
    <w:lvl w:ilvl="0" w:tplc="300A000F">
      <w:start w:val="4"/>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61984B49"/>
    <w:multiLevelType w:val="hybridMultilevel"/>
    <w:tmpl w:val="B5808A9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07E5CDC"/>
    <w:multiLevelType w:val="hybridMultilevel"/>
    <w:tmpl w:val="5E182DEE"/>
    <w:lvl w:ilvl="0" w:tplc="43CC724C">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num w:numId="1" w16cid:durableId="287276732">
    <w:abstractNumId w:val="4"/>
  </w:num>
  <w:num w:numId="2" w16cid:durableId="955864466">
    <w:abstractNumId w:val="9"/>
  </w:num>
  <w:num w:numId="3" w16cid:durableId="167256611">
    <w:abstractNumId w:val="13"/>
  </w:num>
  <w:num w:numId="4" w16cid:durableId="204099154">
    <w:abstractNumId w:val="10"/>
  </w:num>
  <w:num w:numId="5" w16cid:durableId="954404541">
    <w:abstractNumId w:val="8"/>
  </w:num>
  <w:num w:numId="6" w16cid:durableId="2021852460">
    <w:abstractNumId w:val="1"/>
  </w:num>
  <w:num w:numId="7" w16cid:durableId="1204902310">
    <w:abstractNumId w:val="12"/>
  </w:num>
  <w:num w:numId="8" w16cid:durableId="1876843536">
    <w:abstractNumId w:val="5"/>
  </w:num>
  <w:num w:numId="9" w16cid:durableId="522598708">
    <w:abstractNumId w:val="2"/>
  </w:num>
  <w:num w:numId="10" w16cid:durableId="104086500">
    <w:abstractNumId w:val="6"/>
  </w:num>
  <w:num w:numId="11" w16cid:durableId="116947110">
    <w:abstractNumId w:val="11"/>
  </w:num>
  <w:num w:numId="12" w16cid:durableId="1197280410">
    <w:abstractNumId w:val="7"/>
  </w:num>
  <w:num w:numId="13" w16cid:durableId="1230656934">
    <w:abstractNumId w:val="3"/>
  </w:num>
  <w:num w:numId="14" w16cid:durableId="936258193">
    <w:abstractNumId w:val="0"/>
  </w:num>
  <w:num w:numId="15" w16cid:durableId="4136698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27BA7"/>
    <w:rsid w:val="00030CDA"/>
    <w:rsid w:val="000D2384"/>
    <w:rsid w:val="000D2EE1"/>
    <w:rsid w:val="000D64B6"/>
    <w:rsid w:val="000E30E2"/>
    <w:rsid w:val="000E60E7"/>
    <w:rsid w:val="0013020F"/>
    <w:rsid w:val="001421E3"/>
    <w:rsid w:val="00143EDA"/>
    <w:rsid w:val="00154FFD"/>
    <w:rsid w:val="00171968"/>
    <w:rsid w:val="001A22C2"/>
    <w:rsid w:val="001D2F23"/>
    <w:rsid w:val="00287991"/>
    <w:rsid w:val="002911E9"/>
    <w:rsid w:val="002A3C29"/>
    <w:rsid w:val="002C2DFC"/>
    <w:rsid w:val="00357D3F"/>
    <w:rsid w:val="003A1E55"/>
    <w:rsid w:val="003E76F5"/>
    <w:rsid w:val="00673538"/>
    <w:rsid w:val="00684D65"/>
    <w:rsid w:val="00693790"/>
    <w:rsid w:val="006A7426"/>
    <w:rsid w:val="00772839"/>
    <w:rsid w:val="008A7F8A"/>
    <w:rsid w:val="008B750E"/>
    <w:rsid w:val="00922A19"/>
    <w:rsid w:val="0092650B"/>
    <w:rsid w:val="00973A53"/>
    <w:rsid w:val="0099573C"/>
    <w:rsid w:val="009C5930"/>
    <w:rsid w:val="009E47F3"/>
    <w:rsid w:val="00A43F0F"/>
    <w:rsid w:val="00A51EA0"/>
    <w:rsid w:val="00AF0A89"/>
    <w:rsid w:val="00AF18EC"/>
    <w:rsid w:val="00B012D1"/>
    <w:rsid w:val="00B73F43"/>
    <w:rsid w:val="00B82801"/>
    <w:rsid w:val="00BC103B"/>
    <w:rsid w:val="00BF6DE4"/>
    <w:rsid w:val="00C21D1F"/>
    <w:rsid w:val="00CA1404"/>
    <w:rsid w:val="00CD56B8"/>
    <w:rsid w:val="00CE315E"/>
    <w:rsid w:val="00D809FC"/>
    <w:rsid w:val="00E04B13"/>
    <w:rsid w:val="00E41B04"/>
    <w:rsid w:val="00E709A0"/>
    <w:rsid w:val="00E777B7"/>
    <w:rsid w:val="00EE2725"/>
    <w:rsid w:val="00F159DF"/>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table" w:styleId="Tablaconcuadrcula">
    <w:name w:val="Table Grid"/>
    <w:basedOn w:val="Tablanormal"/>
    <w:uiPriority w:val="39"/>
    <w:rsid w:val="00B73F43"/>
    <w:pPr>
      <w:widowControl/>
      <w:autoSpaceDE/>
      <w:autoSpaceDN/>
    </w:pPr>
    <w:rPr>
      <w:kern w:val="2"/>
      <w:lang w:val="es-EC"/>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43EDA"/>
    <w:pPr>
      <w:tabs>
        <w:tab w:val="center" w:pos="4680"/>
        <w:tab w:val="right" w:pos="9360"/>
      </w:tabs>
    </w:pPr>
  </w:style>
  <w:style w:type="character" w:customStyle="1" w:styleId="EncabezadoCar">
    <w:name w:val="Encabezado Car"/>
    <w:basedOn w:val="Fuentedeprrafopredeter"/>
    <w:link w:val="Encabezado"/>
    <w:uiPriority w:val="99"/>
    <w:rsid w:val="00143EDA"/>
    <w:rPr>
      <w:rFonts w:ascii="Calibri" w:eastAsia="Calibri" w:hAnsi="Calibri" w:cs="Calibri"/>
      <w:lang w:val="es-ES"/>
    </w:rPr>
  </w:style>
  <w:style w:type="paragraph" w:styleId="Piedepgina">
    <w:name w:val="footer"/>
    <w:basedOn w:val="Normal"/>
    <w:link w:val="PiedepginaCar"/>
    <w:uiPriority w:val="99"/>
    <w:unhideWhenUsed/>
    <w:rsid w:val="00143EDA"/>
    <w:pPr>
      <w:tabs>
        <w:tab w:val="center" w:pos="4680"/>
        <w:tab w:val="right" w:pos="9360"/>
      </w:tabs>
    </w:pPr>
  </w:style>
  <w:style w:type="character" w:customStyle="1" w:styleId="PiedepginaCar">
    <w:name w:val="Pie de página Car"/>
    <w:basedOn w:val="Fuentedeprrafopredeter"/>
    <w:link w:val="Piedepgina"/>
    <w:uiPriority w:val="99"/>
    <w:rsid w:val="00143EDA"/>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www.mayoclinic.org/es/diseases-conditions/female-infertility/expert-answers/hypothyroidism-and-infertility/faq-20058311" TargetMode="External"/><Relationship Id="rId2" Type="http://schemas.openxmlformats.org/officeDocument/2006/relationships/numbering" Target="numbering.xml"/><Relationship Id="rId16" Type="http://schemas.openxmlformats.org/officeDocument/2006/relationships/hyperlink" Target="https://www.radiologyinfo.org/es/info/thyroid-disea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ia.roblesu@ug.edu.ec"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6484FA-DD73-4330-9A7A-44584AEEDB7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EC"/>
        </a:p>
      </dgm:t>
    </dgm:pt>
    <dgm:pt modelId="{64A60F2C-EDC3-4980-AB8F-E1821E99C031}">
      <dgm:prSet phldrT="[Texto]" custT="1"/>
      <dgm:spPr/>
      <dgm:t>
        <a:bodyPr/>
        <a:lstStyle/>
        <a:p>
          <a:pPr>
            <a:buFont typeface="+mj-lt"/>
            <a:buAutoNum type="arabicPeriod"/>
          </a:pPr>
          <a:r>
            <a:rPr lang="es-EC" sz="700" b="0" i="1">
              <a:solidFill>
                <a:schemeClr val="tx1"/>
              </a:solidFill>
            </a:rPr>
            <a:t>Sospecha clínica: Evaluar síntomas y factores de riesgo.</a:t>
          </a:r>
          <a:endParaRPr lang="es-EC" sz="700" i="1">
            <a:solidFill>
              <a:schemeClr val="tx1"/>
            </a:solidFill>
          </a:endParaRPr>
        </a:p>
      </dgm:t>
    </dgm:pt>
    <dgm:pt modelId="{C99B7F9B-9931-46EE-93DF-CF91EB41D98D}" type="parTrans" cxnId="{799EAEAF-FF57-46D8-AA5B-C3FF7FF96508}">
      <dgm:prSet/>
      <dgm:spPr/>
      <dgm:t>
        <a:bodyPr/>
        <a:lstStyle/>
        <a:p>
          <a:endParaRPr lang="es-EC"/>
        </a:p>
      </dgm:t>
    </dgm:pt>
    <dgm:pt modelId="{ED532B09-3B82-4339-A0B5-D277F2A81F28}" type="sibTrans" cxnId="{799EAEAF-FF57-46D8-AA5B-C3FF7FF96508}">
      <dgm:prSet/>
      <dgm:spPr/>
      <dgm:t>
        <a:bodyPr/>
        <a:lstStyle/>
        <a:p>
          <a:endParaRPr lang="es-EC"/>
        </a:p>
      </dgm:t>
    </dgm:pt>
    <dgm:pt modelId="{E2E22DFB-BE2B-4070-981C-B292661D9BE4}" type="asst">
      <dgm:prSet custT="1"/>
      <dgm:spPr/>
      <dgm:t>
        <a:bodyPr/>
        <a:lstStyle/>
        <a:p>
          <a:r>
            <a:rPr lang="es-EC" sz="700" b="0" i="1">
              <a:solidFill>
                <a:schemeClr val="tx1"/>
              </a:solidFill>
            </a:rPr>
            <a:t>anticuerpos antitiroideos, </a:t>
          </a:r>
          <a:endParaRPr lang="es-EC" sz="700" i="1">
            <a:solidFill>
              <a:schemeClr val="tx1"/>
            </a:solidFill>
          </a:endParaRPr>
        </a:p>
      </dgm:t>
    </dgm:pt>
    <dgm:pt modelId="{9B002427-715F-4918-A94D-8F07E24DA1E5}" type="parTrans" cxnId="{122F68E3-E91B-4FC1-857F-DDBAF250CEA3}">
      <dgm:prSet/>
      <dgm:spPr/>
      <dgm:t>
        <a:bodyPr/>
        <a:lstStyle/>
        <a:p>
          <a:endParaRPr lang="es-EC"/>
        </a:p>
      </dgm:t>
    </dgm:pt>
    <dgm:pt modelId="{0B788927-FBFB-42D8-B6B9-F8C2F1A0D89F}" type="sibTrans" cxnId="{122F68E3-E91B-4FC1-857F-DDBAF250CEA3}">
      <dgm:prSet/>
      <dgm:spPr/>
      <dgm:t>
        <a:bodyPr/>
        <a:lstStyle/>
        <a:p>
          <a:endParaRPr lang="es-EC"/>
        </a:p>
      </dgm:t>
    </dgm:pt>
    <dgm:pt modelId="{A43B750D-94F5-48B2-B3D9-41B8772C9FEC}">
      <dgm:prSet custT="1"/>
      <dgm:spPr/>
      <dgm:t>
        <a:bodyPr/>
        <a:lstStyle/>
        <a:p>
          <a:r>
            <a:rPr lang="es-EC" sz="700" b="0" i="1">
              <a:solidFill>
                <a:schemeClr val="tx1"/>
              </a:solidFill>
            </a:rPr>
            <a:t>ecografía y/o</a:t>
          </a:r>
          <a:endParaRPr lang="es-EC" sz="700" i="1">
            <a:solidFill>
              <a:schemeClr val="tx1"/>
            </a:solidFill>
          </a:endParaRPr>
        </a:p>
      </dgm:t>
    </dgm:pt>
    <dgm:pt modelId="{694CB7B4-FBBE-482C-B1D3-AA6256F5362A}" type="parTrans" cxnId="{E71A6C45-70E8-4BDC-B48C-5F3B4E2D1F12}">
      <dgm:prSet/>
      <dgm:spPr/>
      <dgm:t>
        <a:bodyPr/>
        <a:lstStyle/>
        <a:p>
          <a:endParaRPr lang="es-EC"/>
        </a:p>
      </dgm:t>
    </dgm:pt>
    <dgm:pt modelId="{3D2F7D84-4A0D-4401-BCF9-24EEE015ABC2}" type="sibTrans" cxnId="{E71A6C45-70E8-4BDC-B48C-5F3B4E2D1F12}">
      <dgm:prSet/>
      <dgm:spPr/>
      <dgm:t>
        <a:bodyPr/>
        <a:lstStyle/>
        <a:p>
          <a:endParaRPr lang="es-EC"/>
        </a:p>
      </dgm:t>
    </dgm:pt>
    <dgm:pt modelId="{731D9539-81B7-4CBF-8DCF-3544D207396F}">
      <dgm:prSet custT="1"/>
      <dgm:spPr/>
      <dgm:t>
        <a:bodyPr/>
        <a:lstStyle/>
        <a:p>
          <a:r>
            <a:rPr lang="es-EC" sz="700" b="0" i="1">
              <a:solidFill>
                <a:schemeClr val="tx1"/>
              </a:solidFill>
            </a:rPr>
            <a:t>gammagrafía en casos seleccionados: Permite evaluar la captación y distribución del radioisótopo en la glándula tiroides.</a:t>
          </a:r>
          <a:endParaRPr lang="es-EC" sz="700" i="1">
            <a:solidFill>
              <a:schemeClr val="tx1"/>
            </a:solidFill>
          </a:endParaRPr>
        </a:p>
      </dgm:t>
    </dgm:pt>
    <dgm:pt modelId="{DD07A9D0-D22D-48C9-85BF-24012167F6A4}" type="parTrans" cxnId="{4A9C6AE8-8564-4C3C-895F-5EA61AC5D759}">
      <dgm:prSet/>
      <dgm:spPr/>
      <dgm:t>
        <a:bodyPr/>
        <a:lstStyle/>
        <a:p>
          <a:endParaRPr lang="es-EC"/>
        </a:p>
      </dgm:t>
    </dgm:pt>
    <dgm:pt modelId="{C0A3F3E2-5CC9-4DCC-BD46-10D1E341E1BF}" type="sibTrans" cxnId="{4A9C6AE8-8564-4C3C-895F-5EA61AC5D759}">
      <dgm:prSet/>
      <dgm:spPr/>
      <dgm:t>
        <a:bodyPr/>
        <a:lstStyle/>
        <a:p>
          <a:endParaRPr lang="es-EC"/>
        </a:p>
      </dgm:t>
    </dgm:pt>
    <dgm:pt modelId="{6BBC2449-F8C3-4067-9A9B-E4666EE20067}">
      <dgm:prSet custT="1"/>
      <dgm:spPr/>
      <dgm:t>
        <a:bodyPr/>
        <a:lstStyle/>
        <a:p>
          <a:pPr>
            <a:buFont typeface="+mj-lt"/>
            <a:buAutoNum type="arabicPeriod"/>
          </a:pPr>
          <a:r>
            <a:rPr lang="es-EC" sz="700" b="0" i="1">
              <a:solidFill>
                <a:schemeClr val="tx1"/>
              </a:solidFill>
            </a:rPr>
            <a:t>Medición inicial de TSH: Si está elevada, medir T4 libre.</a:t>
          </a:r>
        </a:p>
      </dgm:t>
    </dgm:pt>
    <dgm:pt modelId="{B4EEEF50-1173-4253-883E-11D345CC835C}" type="parTrans" cxnId="{EBD9D3BD-D58F-4484-85AF-C47B776425A1}">
      <dgm:prSet/>
      <dgm:spPr/>
      <dgm:t>
        <a:bodyPr/>
        <a:lstStyle/>
        <a:p>
          <a:endParaRPr lang="es-EC"/>
        </a:p>
      </dgm:t>
    </dgm:pt>
    <dgm:pt modelId="{F18C0C83-0AC6-455E-9E63-F22287D4CF27}" type="sibTrans" cxnId="{EBD9D3BD-D58F-4484-85AF-C47B776425A1}">
      <dgm:prSet/>
      <dgm:spPr/>
      <dgm:t>
        <a:bodyPr/>
        <a:lstStyle/>
        <a:p>
          <a:endParaRPr lang="es-EC"/>
        </a:p>
      </dgm:t>
    </dgm:pt>
    <dgm:pt modelId="{ADA96535-48E4-4ADD-9AA4-76A30854A9A2}">
      <dgm:prSet custT="1"/>
      <dgm:spPr/>
      <dgm:t>
        <a:bodyPr/>
        <a:lstStyle/>
        <a:p>
          <a:pPr>
            <a:buFont typeface="+mj-lt"/>
            <a:buAutoNum type="arabicPeriod"/>
          </a:pPr>
          <a:r>
            <a:rPr lang="es-EC" sz="700" b="0" i="1">
              <a:solidFill>
                <a:schemeClr val="tx1"/>
              </a:solidFill>
            </a:rPr>
            <a:t>Si TSH está elevada y T4 libre baja: Confirma hipotiroidismo primario manifiesto.</a:t>
          </a:r>
        </a:p>
      </dgm:t>
    </dgm:pt>
    <dgm:pt modelId="{99486380-0F44-4E7F-A12C-1C4B8D519A7F}" type="parTrans" cxnId="{953ED84F-3559-4FDD-A3CC-02A1C02903FF}">
      <dgm:prSet/>
      <dgm:spPr/>
      <dgm:t>
        <a:bodyPr/>
        <a:lstStyle/>
        <a:p>
          <a:endParaRPr lang="es-EC"/>
        </a:p>
      </dgm:t>
    </dgm:pt>
    <dgm:pt modelId="{78509244-3384-4BC4-86B8-7F28438A2531}" type="sibTrans" cxnId="{953ED84F-3559-4FDD-A3CC-02A1C02903FF}">
      <dgm:prSet/>
      <dgm:spPr/>
      <dgm:t>
        <a:bodyPr/>
        <a:lstStyle/>
        <a:p>
          <a:endParaRPr lang="es-EC"/>
        </a:p>
      </dgm:t>
    </dgm:pt>
    <dgm:pt modelId="{480A8397-CAF5-4AAD-B45D-D740668118C5}">
      <dgm:prSet custT="1"/>
      <dgm:spPr/>
      <dgm:t>
        <a:bodyPr/>
        <a:lstStyle/>
        <a:p>
          <a:pPr>
            <a:buFont typeface="+mj-lt"/>
            <a:buAutoNum type="arabicPeriod"/>
          </a:pPr>
          <a:r>
            <a:rPr lang="es-EC" sz="700" b="0" i="1">
              <a:solidFill>
                <a:schemeClr val="tx1"/>
              </a:solidFill>
            </a:rPr>
            <a:t>Si TSH está elevada y T4 libre normal: Hipotiroidismo subclínico.</a:t>
          </a:r>
        </a:p>
      </dgm:t>
    </dgm:pt>
    <dgm:pt modelId="{5A983F14-040E-4E76-8FD3-5F24C0827531}" type="parTrans" cxnId="{A24DDA1F-D3F4-4650-B0DB-72153C7D58B9}">
      <dgm:prSet/>
      <dgm:spPr/>
      <dgm:t>
        <a:bodyPr/>
        <a:lstStyle/>
        <a:p>
          <a:endParaRPr lang="es-EC"/>
        </a:p>
      </dgm:t>
    </dgm:pt>
    <dgm:pt modelId="{BE791687-E41A-4365-901F-83AAC6152CEE}" type="sibTrans" cxnId="{A24DDA1F-D3F4-4650-B0DB-72153C7D58B9}">
      <dgm:prSet/>
      <dgm:spPr/>
      <dgm:t>
        <a:bodyPr/>
        <a:lstStyle/>
        <a:p>
          <a:endParaRPr lang="es-EC"/>
        </a:p>
      </dgm:t>
    </dgm:pt>
    <dgm:pt modelId="{0CCEEDD6-6C70-4E95-B786-8B6F2C738C62}">
      <dgm:prSet custT="1"/>
      <dgm:spPr/>
      <dgm:t>
        <a:bodyPr/>
        <a:lstStyle/>
        <a:p>
          <a:pPr>
            <a:buFont typeface="+mj-lt"/>
            <a:buAutoNum type="arabicPeriod"/>
          </a:pPr>
          <a:r>
            <a:rPr lang="es-EC" sz="700" b="0" i="1">
              <a:solidFill>
                <a:schemeClr val="tx1"/>
              </a:solidFill>
            </a:rPr>
            <a:t>**Considerar medición :</a:t>
          </a:r>
        </a:p>
      </dgm:t>
    </dgm:pt>
    <dgm:pt modelId="{05088979-31AF-4779-8982-74822D7E6C1C}" type="parTrans" cxnId="{733476A5-FFB7-478C-B2D1-D3A9545DFA81}">
      <dgm:prSet/>
      <dgm:spPr/>
      <dgm:t>
        <a:bodyPr/>
        <a:lstStyle/>
        <a:p>
          <a:endParaRPr lang="es-EC"/>
        </a:p>
      </dgm:t>
    </dgm:pt>
    <dgm:pt modelId="{53DF7350-0FC8-4EAB-8A1D-9DF7523798DB}" type="sibTrans" cxnId="{733476A5-FFB7-478C-B2D1-D3A9545DFA81}">
      <dgm:prSet/>
      <dgm:spPr/>
      <dgm:t>
        <a:bodyPr/>
        <a:lstStyle/>
        <a:p>
          <a:endParaRPr lang="es-EC"/>
        </a:p>
      </dgm:t>
    </dgm:pt>
    <dgm:pt modelId="{DDC1CD98-782F-4BF6-887D-A0BEC7F6F942}">
      <dgm:prSet custT="1"/>
      <dgm:spPr/>
      <dgm:t>
        <a:bodyPr/>
        <a:lstStyle/>
        <a:p>
          <a:pPr>
            <a:buFont typeface="Arial" panose="020B0604020202020204" pitchFamily="34" charset="0"/>
            <a:buChar char="•"/>
          </a:pPr>
          <a:r>
            <a:rPr lang="es-EC" sz="700" b="0" i="1">
              <a:solidFill>
                <a:schemeClr val="tx1"/>
              </a:solidFill>
            </a:rPr>
            <a:t>Útil para diferenciar entre hipotiroidismo primario y secundario/terciario</a:t>
          </a:r>
        </a:p>
      </dgm:t>
    </dgm:pt>
    <dgm:pt modelId="{BB85EC4B-FD6A-4C19-B8CA-073BD64A22A5}" type="parTrans" cxnId="{22D3DFA1-CC45-4B44-8E9F-8436F05C7F24}">
      <dgm:prSet/>
      <dgm:spPr/>
      <dgm:t>
        <a:bodyPr/>
        <a:lstStyle/>
        <a:p>
          <a:endParaRPr lang="es-EC"/>
        </a:p>
      </dgm:t>
    </dgm:pt>
    <dgm:pt modelId="{3C5F7DFE-CE44-40DA-919C-2FF53C7F6F66}" type="sibTrans" cxnId="{22D3DFA1-CC45-4B44-8E9F-8436F05C7F24}">
      <dgm:prSet/>
      <dgm:spPr/>
      <dgm:t>
        <a:bodyPr/>
        <a:lstStyle/>
        <a:p>
          <a:endParaRPr lang="es-EC"/>
        </a:p>
      </dgm:t>
    </dgm:pt>
    <dgm:pt modelId="{A179D33D-821A-43EB-AB6B-37AF21C8FD86}" type="pres">
      <dgm:prSet presAssocID="{FF6484FA-DD73-4330-9A7A-44584AEEDB71}" presName="hierChild1" presStyleCnt="0">
        <dgm:presLayoutVars>
          <dgm:orgChart val="1"/>
          <dgm:chPref val="1"/>
          <dgm:dir/>
          <dgm:animOne val="branch"/>
          <dgm:animLvl val="lvl"/>
          <dgm:resizeHandles/>
        </dgm:presLayoutVars>
      </dgm:prSet>
      <dgm:spPr/>
    </dgm:pt>
    <dgm:pt modelId="{EC50B335-7285-458F-9530-446B6BFC1427}" type="pres">
      <dgm:prSet presAssocID="{64A60F2C-EDC3-4980-AB8F-E1821E99C031}" presName="hierRoot1" presStyleCnt="0">
        <dgm:presLayoutVars>
          <dgm:hierBranch val="init"/>
        </dgm:presLayoutVars>
      </dgm:prSet>
      <dgm:spPr/>
    </dgm:pt>
    <dgm:pt modelId="{1EAA9753-3A68-409F-9F96-0ACE5B247A22}" type="pres">
      <dgm:prSet presAssocID="{64A60F2C-EDC3-4980-AB8F-E1821E99C031}" presName="rootComposite1" presStyleCnt="0"/>
      <dgm:spPr/>
    </dgm:pt>
    <dgm:pt modelId="{C360E8F6-C603-4B0F-BEAE-AAB4D0B0D28C}" type="pres">
      <dgm:prSet presAssocID="{64A60F2C-EDC3-4980-AB8F-E1821E99C031}" presName="rootText1" presStyleLbl="node0" presStyleIdx="0" presStyleCnt="5">
        <dgm:presLayoutVars>
          <dgm:chPref val="3"/>
        </dgm:presLayoutVars>
      </dgm:prSet>
      <dgm:spPr/>
    </dgm:pt>
    <dgm:pt modelId="{FDA21BE5-F52E-400D-901D-CCB8820EF7DF}" type="pres">
      <dgm:prSet presAssocID="{64A60F2C-EDC3-4980-AB8F-E1821E99C031}" presName="rootConnector1" presStyleLbl="node1" presStyleIdx="0" presStyleCnt="0"/>
      <dgm:spPr/>
    </dgm:pt>
    <dgm:pt modelId="{8B9F28EE-AE5F-46CD-AC35-6F0CC50FFA28}" type="pres">
      <dgm:prSet presAssocID="{64A60F2C-EDC3-4980-AB8F-E1821E99C031}" presName="hierChild2" presStyleCnt="0"/>
      <dgm:spPr/>
    </dgm:pt>
    <dgm:pt modelId="{ED7079F9-3B43-40D1-8FF8-95F5C3D877CF}" type="pres">
      <dgm:prSet presAssocID="{64A60F2C-EDC3-4980-AB8F-E1821E99C031}" presName="hierChild3" presStyleCnt="0"/>
      <dgm:spPr/>
    </dgm:pt>
    <dgm:pt modelId="{0B4C40DF-63A7-4ECE-A0F5-57ECD18F09A1}" type="pres">
      <dgm:prSet presAssocID="{6BBC2449-F8C3-4067-9A9B-E4666EE20067}" presName="hierRoot1" presStyleCnt="0">
        <dgm:presLayoutVars>
          <dgm:hierBranch val="init"/>
        </dgm:presLayoutVars>
      </dgm:prSet>
      <dgm:spPr/>
    </dgm:pt>
    <dgm:pt modelId="{382C56FC-C95B-493C-9615-1CC893AC9FC7}" type="pres">
      <dgm:prSet presAssocID="{6BBC2449-F8C3-4067-9A9B-E4666EE20067}" presName="rootComposite1" presStyleCnt="0"/>
      <dgm:spPr/>
    </dgm:pt>
    <dgm:pt modelId="{CE1793C7-3C64-40B7-9D07-120ABC75EB21}" type="pres">
      <dgm:prSet presAssocID="{6BBC2449-F8C3-4067-9A9B-E4666EE20067}" presName="rootText1" presStyleLbl="node0" presStyleIdx="1" presStyleCnt="5">
        <dgm:presLayoutVars>
          <dgm:chPref val="3"/>
        </dgm:presLayoutVars>
      </dgm:prSet>
      <dgm:spPr/>
    </dgm:pt>
    <dgm:pt modelId="{985EF229-D526-42FC-8973-B13AF7EBD054}" type="pres">
      <dgm:prSet presAssocID="{6BBC2449-F8C3-4067-9A9B-E4666EE20067}" presName="rootConnector1" presStyleLbl="node1" presStyleIdx="0" presStyleCnt="0"/>
      <dgm:spPr/>
    </dgm:pt>
    <dgm:pt modelId="{83EE93B4-296A-449B-97D4-D775A4D3F6EA}" type="pres">
      <dgm:prSet presAssocID="{6BBC2449-F8C3-4067-9A9B-E4666EE20067}" presName="hierChild2" presStyleCnt="0"/>
      <dgm:spPr/>
    </dgm:pt>
    <dgm:pt modelId="{A4D9E3C8-6CA0-4F19-B3FD-192FF7683D90}" type="pres">
      <dgm:prSet presAssocID="{6BBC2449-F8C3-4067-9A9B-E4666EE20067}" presName="hierChild3" presStyleCnt="0"/>
      <dgm:spPr/>
    </dgm:pt>
    <dgm:pt modelId="{912D255F-F463-490E-A010-952AF64FE3B9}" type="pres">
      <dgm:prSet presAssocID="{ADA96535-48E4-4ADD-9AA4-76A30854A9A2}" presName="hierRoot1" presStyleCnt="0">
        <dgm:presLayoutVars>
          <dgm:hierBranch val="init"/>
        </dgm:presLayoutVars>
      </dgm:prSet>
      <dgm:spPr/>
    </dgm:pt>
    <dgm:pt modelId="{58EFE23F-47FB-4E49-8C76-5BFB8B6232D4}" type="pres">
      <dgm:prSet presAssocID="{ADA96535-48E4-4ADD-9AA4-76A30854A9A2}" presName="rootComposite1" presStyleCnt="0"/>
      <dgm:spPr/>
    </dgm:pt>
    <dgm:pt modelId="{031A55EA-594C-4796-BDDB-1AFBC756B948}" type="pres">
      <dgm:prSet presAssocID="{ADA96535-48E4-4ADD-9AA4-76A30854A9A2}" presName="rootText1" presStyleLbl="node0" presStyleIdx="2" presStyleCnt="5" custScaleY="186297">
        <dgm:presLayoutVars>
          <dgm:chPref val="3"/>
        </dgm:presLayoutVars>
      </dgm:prSet>
      <dgm:spPr/>
    </dgm:pt>
    <dgm:pt modelId="{4A9E5D39-70DF-4D1F-B2EE-AEC134491466}" type="pres">
      <dgm:prSet presAssocID="{ADA96535-48E4-4ADD-9AA4-76A30854A9A2}" presName="rootConnector1" presStyleLbl="node1" presStyleIdx="0" presStyleCnt="0"/>
      <dgm:spPr/>
    </dgm:pt>
    <dgm:pt modelId="{C3167BD5-9C79-4FB8-9384-121708E1C31E}" type="pres">
      <dgm:prSet presAssocID="{ADA96535-48E4-4ADD-9AA4-76A30854A9A2}" presName="hierChild2" presStyleCnt="0"/>
      <dgm:spPr/>
    </dgm:pt>
    <dgm:pt modelId="{D9444819-0119-49EC-823B-8A7A0C9393F4}" type="pres">
      <dgm:prSet presAssocID="{ADA96535-48E4-4ADD-9AA4-76A30854A9A2}" presName="hierChild3" presStyleCnt="0"/>
      <dgm:spPr/>
    </dgm:pt>
    <dgm:pt modelId="{D3E299CF-C7A2-418D-AFC7-0C37F779DDDA}" type="pres">
      <dgm:prSet presAssocID="{480A8397-CAF5-4AAD-B45D-D740668118C5}" presName="hierRoot1" presStyleCnt="0">
        <dgm:presLayoutVars>
          <dgm:hierBranch val="init"/>
        </dgm:presLayoutVars>
      </dgm:prSet>
      <dgm:spPr/>
    </dgm:pt>
    <dgm:pt modelId="{00802E3E-1E1F-4729-9F6D-85ACE9AF27C0}" type="pres">
      <dgm:prSet presAssocID="{480A8397-CAF5-4AAD-B45D-D740668118C5}" presName="rootComposite1" presStyleCnt="0"/>
      <dgm:spPr/>
    </dgm:pt>
    <dgm:pt modelId="{AEDEE8B6-DD2A-4300-99DB-2E3E6B0C06BF}" type="pres">
      <dgm:prSet presAssocID="{480A8397-CAF5-4AAD-B45D-D740668118C5}" presName="rootText1" presStyleLbl="node0" presStyleIdx="3" presStyleCnt="5" custScaleY="141437">
        <dgm:presLayoutVars>
          <dgm:chPref val="3"/>
        </dgm:presLayoutVars>
      </dgm:prSet>
      <dgm:spPr/>
    </dgm:pt>
    <dgm:pt modelId="{5F60ADD5-A568-4C6C-8291-1EE769641B04}" type="pres">
      <dgm:prSet presAssocID="{480A8397-CAF5-4AAD-B45D-D740668118C5}" presName="rootConnector1" presStyleLbl="node1" presStyleIdx="0" presStyleCnt="0"/>
      <dgm:spPr/>
    </dgm:pt>
    <dgm:pt modelId="{8F87FDFA-9094-4A1D-B289-B685AF5B18F0}" type="pres">
      <dgm:prSet presAssocID="{480A8397-CAF5-4AAD-B45D-D740668118C5}" presName="hierChild2" presStyleCnt="0"/>
      <dgm:spPr/>
    </dgm:pt>
    <dgm:pt modelId="{5A24FBC9-7168-44CC-9746-3CA9CF55B3C4}" type="pres">
      <dgm:prSet presAssocID="{480A8397-CAF5-4AAD-B45D-D740668118C5}" presName="hierChild3" presStyleCnt="0"/>
      <dgm:spPr/>
    </dgm:pt>
    <dgm:pt modelId="{02230FAB-14D1-49BA-9207-70E4CA99882E}" type="pres">
      <dgm:prSet presAssocID="{0CCEEDD6-6C70-4E95-B786-8B6F2C738C62}" presName="hierRoot1" presStyleCnt="0">
        <dgm:presLayoutVars>
          <dgm:hierBranch val="init"/>
        </dgm:presLayoutVars>
      </dgm:prSet>
      <dgm:spPr/>
    </dgm:pt>
    <dgm:pt modelId="{AC7E2328-280E-466A-9F52-ED596A8CCF37}" type="pres">
      <dgm:prSet presAssocID="{0CCEEDD6-6C70-4E95-B786-8B6F2C738C62}" presName="rootComposite1" presStyleCnt="0"/>
      <dgm:spPr/>
    </dgm:pt>
    <dgm:pt modelId="{D86EF41B-7800-46B6-916C-74E7D8D1ED24}" type="pres">
      <dgm:prSet presAssocID="{0CCEEDD6-6C70-4E95-B786-8B6F2C738C62}" presName="rootText1" presStyleLbl="node0" presStyleIdx="4" presStyleCnt="5">
        <dgm:presLayoutVars>
          <dgm:chPref val="3"/>
        </dgm:presLayoutVars>
      </dgm:prSet>
      <dgm:spPr/>
    </dgm:pt>
    <dgm:pt modelId="{7A48E504-1757-426C-9731-467BED1D7439}" type="pres">
      <dgm:prSet presAssocID="{0CCEEDD6-6C70-4E95-B786-8B6F2C738C62}" presName="rootConnector1" presStyleLbl="node1" presStyleIdx="0" presStyleCnt="0"/>
      <dgm:spPr/>
    </dgm:pt>
    <dgm:pt modelId="{BC9C94C9-F3D3-46CD-B79D-FF1770256013}" type="pres">
      <dgm:prSet presAssocID="{0CCEEDD6-6C70-4E95-B786-8B6F2C738C62}" presName="hierChild2" presStyleCnt="0"/>
      <dgm:spPr/>
    </dgm:pt>
    <dgm:pt modelId="{8E38D555-D362-4778-B2E9-EF6AC4CA2A8A}" type="pres">
      <dgm:prSet presAssocID="{694CB7B4-FBBE-482C-B1D3-AA6256F5362A}" presName="Name37" presStyleLbl="parChTrans1D2" presStyleIdx="0" presStyleCnt="4"/>
      <dgm:spPr/>
    </dgm:pt>
    <dgm:pt modelId="{44ABC74E-07DF-4621-BEF3-39061B7AF64F}" type="pres">
      <dgm:prSet presAssocID="{A43B750D-94F5-48B2-B3D9-41B8772C9FEC}" presName="hierRoot2" presStyleCnt="0">
        <dgm:presLayoutVars>
          <dgm:hierBranch val="init"/>
        </dgm:presLayoutVars>
      </dgm:prSet>
      <dgm:spPr/>
    </dgm:pt>
    <dgm:pt modelId="{062D6662-9791-410D-93AA-EB7E858BA9ED}" type="pres">
      <dgm:prSet presAssocID="{A43B750D-94F5-48B2-B3D9-41B8772C9FEC}" presName="rootComposite" presStyleCnt="0"/>
      <dgm:spPr/>
    </dgm:pt>
    <dgm:pt modelId="{1D981F35-8300-44E1-96E8-88882B24BAFA}" type="pres">
      <dgm:prSet presAssocID="{A43B750D-94F5-48B2-B3D9-41B8772C9FEC}" presName="rootText" presStyleLbl="node2" presStyleIdx="0" presStyleCnt="3">
        <dgm:presLayoutVars>
          <dgm:chPref val="3"/>
        </dgm:presLayoutVars>
      </dgm:prSet>
      <dgm:spPr/>
    </dgm:pt>
    <dgm:pt modelId="{7C1EBEBC-5670-48C1-9FA2-96C26E47E279}" type="pres">
      <dgm:prSet presAssocID="{A43B750D-94F5-48B2-B3D9-41B8772C9FEC}" presName="rootConnector" presStyleLbl="node2" presStyleIdx="0" presStyleCnt="3"/>
      <dgm:spPr/>
    </dgm:pt>
    <dgm:pt modelId="{E81E2273-B1A5-46E1-8E59-981699F81A23}" type="pres">
      <dgm:prSet presAssocID="{A43B750D-94F5-48B2-B3D9-41B8772C9FEC}" presName="hierChild4" presStyleCnt="0"/>
      <dgm:spPr/>
    </dgm:pt>
    <dgm:pt modelId="{4C409D7B-172C-4FD4-B4F9-5E87EC183220}" type="pres">
      <dgm:prSet presAssocID="{A43B750D-94F5-48B2-B3D9-41B8772C9FEC}" presName="hierChild5" presStyleCnt="0"/>
      <dgm:spPr/>
    </dgm:pt>
    <dgm:pt modelId="{87024771-195F-4EA2-AC40-633C0D3D6C05}" type="pres">
      <dgm:prSet presAssocID="{DD07A9D0-D22D-48C9-85BF-24012167F6A4}" presName="Name37" presStyleLbl="parChTrans1D2" presStyleIdx="1" presStyleCnt="4"/>
      <dgm:spPr/>
    </dgm:pt>
    <dgm:pt modelId="{A07104D7-B83B-4D87-B042-A136FA1B5387}" type="pres">
      <dgm:prSet presAssocID="{731D9539-81B7-4CBF-8DCF-3544D207396F}" presName="hierRoot2" presStyleCnt="0">
        <dgm:presLayoutVars>
          <dgm:hierBranch val="init"/>
        </dgm:presLayoutVars>
      </dgm:prSet>
      <dgm:spPr/>
    </dgm:pt>
    <dgm:pt modelId="{086D2C39-C4E7-4BBE-B10E-7AD8F3AA88DF}" type="pres">
      <dgm:prSet presAssocID="{731D9539-81B7-4CBF-8DCF-3544D207396F}" presName="rootComposite" presStyleCnt="0"/>
      <dgm:spPr/>
    </dgm:pt>
    <dgm:pt modelId="{2FBDFE47-C5AC-4166-95B3-6F1D04CB6726}" type="pres">
      <dgm:prSet presAssocID="{731D9539-81B7-4CBF-8DCF-3544D207396F}" presName="rootText" presStyleLbl="node2" presStyleIdx="1" presStyleCnt="3" custScaleY="213733">
        <dgm:presLayoutVars>
          <dgm:chPref val="3"/>
        </dgm:presLayoutVars>
      </dgm:prSet>
      <dgm:spPr/>
    </dgm:pt>
    <dgm:pt modelId="{B42D3917-9BB2-4EC3-AD84-EA26697FB8D4}" type="pres">
      <dgm:prSet presAssocID="{731D9539-81B7-4CBF-8DCF-3544D207396F}" presName="rootConnector" presStyleLbl="node2" presStyleIdx="1" presStyleCnt="3"/>
      <dgm:spPr/>
    </dgm:pt>
    <dgm:pt modelId="{01B93254-49DA-4B1A-8521-1596063A7901}" type="pres">
      <dgm:prSet presAssocID="{731D9539-81B7-4CBF-8DCF-3544D207396F}" presName="hierChild4" presStyleCnt="0"/>
      <dgm:spPr/>
    </dgm:pt>
    <dgm:pt modelId="{3CA8A97F-83E6-4C88-8859-723BF9415952}" type="pres">
      <dgm:prSet presAssocID="{731D9539-81B7-4CBF-8DCF-3544D207396F}" presName="hierChild5" presStyleCnt="0"/>
      <dgm:spPr/>
    </dgm:pt>
    <dgm:pt modelId="{5A4407F4-F822-4DFD-A7AC-6AE40A540979}" type="pres">
      <dgm:prSet presAssocID="{BB85EC4B-FD6A-4C19-B8CA-073BD64A22A5}" presName="Name37" presStyleLbl="parChTrans1D2" presStyleIdx="2" presStyleCnt="4"/>
      <dgm:spPr/>
    </dgm:pt>
    <dgm:pt modelId="{DF0575E6-44E7-4271-B129-ACAAA59A9752}" type="pres">
      <dgm:prSet presAssocID="{DDC1CD98-782F-4BF6-887D-A0BEC7F6F942}" presName="hierRoot2" presStyleCnt="0">
        <dgm:presLayoutVars>
          <dgm:hierBranch val="init"/>
        </dgm:presLayoutVars>
      </dgm:prSet>
      <dgm:spPr/>
    </dgm:pt>
    <dgm:pt modelId="{EE18D2C0-4A13-4ABB-B6F2-1F5EF782CA03}" type="pres">
      <dgm:prSet presAssocID="{DDC1CD98-782F-4BF6-887D-A0BEC7F6F942}" presName="rootComposite" presStyleCnt="0"/>
      <dgm:spPr/>
    </dgm:pt>
    <dgm:pt modelId="{E0D5D609-0FE1-4BEC-A850-96492783C7D7}" type="pres">
      <dgm:prSet presAssocID="{DDC1CD98-782F-4BF6-887D-A0BEC7F6F942}" presName="rootText" presStyleLbl="node2" presStyleIdx="2" presStyleCnt="3">
        <dgm:presLayoutVars>
          <dgm:chPref val="3"/>
        </dgm:presLayoutVars>
      </dgm:prSet>
      <dgm:spPr/>
    </dgm:pt>
    <dgm:pt modelId="{9288AC9B-600E-4E86-8153-A20D61643DD0}" type="pres">
      <dgm:prSet presAssocID="{DDC1CD98-782F-4BF6-887D-A0BEC7F6F942}" presName="rootConnector" presStyleLbl="node2" presStyleIdx="2" presStyleCnt="3"/>
      <dgm:spPr/>
    </dgm:pt>
    <dgm:pt modelId="{4CE6B81D-A99B-4C9F-AD69-82E042D360BB}" type="pres">
      <dgm:prSet presAssocID="{DDC1CD98-782F-4BF6-887D-A0BEC7F6F942}" presName="hierChild4" presStyleCnt="0"/>
      <dgm:spPr/>
    </dgm:pt>
    <dgm:pt modelId="{4A09820F-AF6B-4C90-8A7F-056443BCF797}" type="pres">
      <dgm:prSet presAssocID="{DDC1CD98-782F-4BF6-887D-A0BEC7F6F942}" presName="hierChild5" presStyleCnt="0"/>
      <dgm:spPr/>
    </dgm:pt>
    <dgm:pt modelId="{B0FF24A6-5B20-470A-8269-9A1655A1A1E2}" type="pres">
      <dgm:prSet presAssocID="{0CCEEDD6-6C70-4E95-B786-8B6F2C738C62}" presName="hierChild3" presStyleCnt="0"/>
      <dgm:spPr/>
    </dgm:pt>
    <dgm:pt modelId="{9510F904-2AC6-43D2-9F56-1A73F0805B48}" type="pres">
      <dgm:prSet presAssocID="{9B002427-715F-4918-A94D-8F07E24DA1E5}" presName="Name111" presStyleLbl="parChTrans1D2" presStyleIdx="3" presStyleCnt="4"/>
      <dgm:spPr/>
    </dgm:pt>
    <dgm:pt modelId="{350737C9-A0E3-4575-95C6-2FA317887BDB}" type="pres">
      <dgm:prSet presAssocID="{E2E22DFB-BE2B-4070-981C-B292661D9BE4}" presName="hierRoot3" presStyleCnt="0">
        <dgm:presLayoutVars>
          <dgm:hierBranch val="init"/>
        </dgm:presLayoutVars>
      </dgm:prSet>
      <dgm:spPr/>
    </dgm:pt>
    <dgm:pt modelId="{D3475624-A705-4297-9173-5777FD42BAEB}" type="pres">
      <dgm:prSet presAssocID="{E2E22DFB-BE2B-4070-981C-B292661D9BE4}" presName="rootComposite3" presStyleCnt="0"/>
      <dgm:spPr/>
    </dgm:pt>
    <dgm:pt modelId="{C3C3C810-1A9F-47C4-B2F5-BE0E112959A0}" type="pres">
      <dgm:prSet presAssocID="{E2E22DFB-BE2B-4070-981C-B292661D9BE4}" presName="rootText3" presStyleLbl="asst1" presStyleIdx="0" presStyleCnt="1">
        <dgm:presLayoutVars>
          <dgm:chPref val="3"/>
        </dgm:presLayoutVars>
      </dgm:prSet>
      <dgm:spPr/>
    </dgm:pt>
    <dgm:pt modelId="{12F322BF-CE82-46A8-B172-4F538E8CD8A5}" type="pres">
      <dgm:prSet presAssocID="{E2E22DFB-BE2B-4070-981C-B292661D9BE4}" presName="rootConnector3" presStyleLbl="asst1" presStyleIdx="0" presStyleCnt="1"/>
      <dgm:spPr/>
    </dgm:pt>
    <dgm:pt modelId="{E6815AB5-6F07-42BA-AAF5-D3CBCBB4D5D1}" type="pres">
      <dgm:prSet presAssocID="{E2E22DFB-BE2B-4070-981C-B292661D9BE4}" presName="hierChild6" presStyleCnt="0"/>
      <dgm:spPr/>
    </dgm:pt>
    <dgm:pt modelId="{B34874B8-E33F-47A7-9206-EC781A3107B2}" type="pres">
      <dgm:prSet presAssocID="{E2E22DFB-BE2B-4070-981C-B292661D9BE4}" presName="hierChild7" presStyleCnt="0"/>
      <dgm:spPr/>
    </dgm:pt>
  </dgm:ptLst>
  <dgm:cxnLst>
    <dgm:cxn modelId="{2C95ED0B-C016-4F7E-8DE5-F9730DB7E6C7}" type="presOf" srcId="{0CCEEDD6-6C70-4E95-B786-8B6F2C738C62}" destId="{7A48E504-1757-426C-9731-467BED1D7439}" srcOrd="1" destOrd="0" presId="urn:microsoft.com/office/officeart/2005/8/layout/orgChart1"/>
    <dgm:cxn modelId="{F8772E0C-742B-427B-B35B-D073DD9049E3}" type="presOf" srcId="{731D9539-81B7-4CBF-8DCF-3544D207396F}" destId="{2FBDFE47-C5AC-4166-95B3-6F1D04CB6726}" srcOrd="0" destOrd="0" presId="urn:microsoft.com/office/officeart/2005/8/layout/orgChart1"/>
    <dgm:cxn modelId="{0A614111-3F5B-484E-AC68-FB8F1C95D04E}" type="presOf" srcId="{E2E22DFB-BE2B-4070-981C-B292661D9BE4}" destId="{C3C3C810-1A9F-47C4-B2F5-BE0E112959A0}" srcOrd="0" destOrd="0" presId="urn:microsoft.com/office/officeart/2005/8/layout/orgChart1"/>
    <dgm:cxn modelId="{F2026C16-1BD0-42D7-A6AC-0715DE77444D}" type="presOf" srcId="{ADA96535-48E4-4ADD-9AA4-76A30854A9A2}" destId="{031A55EA-594C-4796-BDDB-1AFBC756B948}" srcOrd="0" destOrd="0" presId="urn:microsoft.com/office/officeart/2005/8/layout/orgChart1"/>
    <dgm:cxn modelId="{A630411A-8F91-4799-8B83-2A458BD2D281}" type="presOf" srcId="{480A8397-CAF5-4AAD-B45D-D740668118C5}" destId="{AEDEE8B6-DD2A-4300-99DB-2E3E6B0C06BF}" srcOrd="0" destOrd="0" presId="urn:microsoft.com/office/officeart/2005/8/layout/orgChart1"/>
    <dgm:cxn modelId="{A24DDA1F-D3F4-4650-B0DB-72153C7D58B9}" srcId="{FF6484FA-DD73-4330-9A7A-44584AEEDB71}" destId="{480A8397-CAF5-4AAD-B45D-D740668118C5}" srcOrd="3" destOrd="0" parTransId="{5A983F14-040E-4E76-8FD3-5F24C0827531}" sibTransId="{BE791687-E41A-4365-901F-83AAC6152CEE}"/>
    <dgm:cxn modelId="{761F2E24-BB2D-4C31-A96E-2D04E2C370EE}" type="presOf" srcId="{DDC1CD98-782F-4BF6-887D-A0BEC7F6F942}" destId="{E0D5D609-0FE1-4BEC-A850-96492783C7D7}" srcOrd="0" destOrd="0" presId="urn:microsoft.com/office/officeart/2005/8/layout/orgChart1"/>
    <dgm:cxn modelId="{93910033-2355-41DF-B3E2-257FAEABA650}" type="presOf" srcId="{DDC1CD98-782F-4BF6-887D-A0BEC7F6F942}" destId="{9288AC9B-600E-4E86-8153-A20D61643DD0}" srcOrd="1" destOrd="0" presId="urn:microsoft.com/office/officeart/2005/8/layout/orgChart1"/>
    <dgm:cxn modelId="{977D7433-4502-4234-B9C9-1C5F25C2D43F}" type="presOf" srcId="{0CCEEDD6-6C70-4E95-B786-8B6F2C738C62}" destId="{D86EF41B-7800-46B6-916C-74E7D8D1ED24}" srcOrd="0" destOrd="0" presId="urn:microsoft.com/office/officeart/2005/8/layout/orgChart1"/>
    <dgm:cxn modelId="{55B1B238-6DD0-44DD-8C6C-3984945D6F59}" type="presOf" srcId="{ADA96535-48E4-4ADD-9AA4-76A30854A9A2}" destId="{4A9E5D39-70DF-4D1F-B2EE-AEC134491466}" srcOrd="1" destOrd="0" presId="urn:microsoft.com/office/officeart/2005/8/layout/orgChart1"/>
    <dgm:cxn modelId="{59CD0D39-6313-42A8-954A-BE5597EF5906}" type="presOf" srcId="{6BBC2449-F8C3-4067-9A9B-E4666EE20067}" destId="{CE1793C7-3C64-40B7-9D07-120ABC75EB21}" srcOrd="0" destOrd="0" presId="urn:microsoft.com/office/officeart/2005/8/layout/orgChart1"/>
    <dgm:cxn modelId="{C89D533D-C70F-467B-8A90-39827694F914}" type="presOf" srcId="{BB85EC4B-FD6A-4C19-B8CA-073BD64A22A5}" destId="{5A4407F4-F822-4DFD-A7AC-6AE40A540979}" srcOrd="0" destOrd="0" presId="urn:microsoft.com/office/officeart/2005/8/layout/orgChart1"/>
    <dgm:cxn modelId="{E71A6C45-70E8-4BDC-B48C-5F3B4E2D1F12}" srcId="{0CCEEDD6-6C70-4E95-B786-8B6F2C738C62}" destId="{A43B750D-94F5-48B2-B3D9-41B8772C9FEC}" srcOrd="1" destOrd="0" parTransId="{694CB7B4-FBBE-482C-B1D3-AA6256F5362A}" sibTransId="{3D2F7D84-4A0D-4401-BCF9-24EEE015ABC2}"/>
    <dgm:cxn modelId="{953ED84F-3559-4FDD-A3CC-02A1C02903FF}" srcId="{FF6484FA-DD73-4330-9A7A-44584AEEDB71}" destId="{ADA96535-48E4-4ADD-9AA4-76A30854A9A2}" srcOrd="2" destOrd="0" parTransId="{99486380-0F44-4E7F-A12C-1C4B8D519A7F}" sibTransId="{78509244-3384-4BC4-86B8-7F28438A2531}"/>
    <dgm:cxn modelId="{D3A3B156-2590-4BE2-9813-3195908F3C7C}" type="presOf" srcId="{FF6484FA-DD73-4330-9A7A-44584AEEDB71}" destId="{A179D33D-821A-43EB-AB6B-37AF21C8FD86}" srcOrd="0" destOrd="0" presId="urn:microsoft.com/office/officeart/2005/8/layout/orgChart1"/>
    <dgm:cxn modelId="{F4BFF678-19EC-4D24-953E-DD28B1AC0D9C}" type="presOf" srcId="{694CB7B4-FBBE-482C-B1D3-AA6256F5362A}" destId="{8E38D555-D362-4778-B2E9-EF6AC4CA2A8A}" srcOrd="0" destOrd="0" presId="urn:microsoft.com/office/officeart/2005/8/layout/orgChart1"/>
    <dgm:cxn modelId="{00D1AE59-60C5-4776-8FB4-E1A174FF271F}" type="presOf" srcId="{DD07A9D0-D22D-48C9-85BF-24012167F6A4}" destId="{87024771-195F-4EA2-AC40-633C0D3D6C05}" srcOrd="0" destOrd="0" presId="urn:microsoft.com/office/officeart/2005/8/layout/orgChart1"/>
    <dgm:cxn modelId="{AE4BB95A-86B9-4B2B-85BC-D9D593907193}" type="presOf" srcId="{A43B750D-94F5-48B2-B3D9-41B8772C9FEC}" destId="{1D981F35-8300-44E1-96E8-88882B24BAFA}" srcOrd="0" destOrd="0" presId="urn:microsoft.com/office/officeart/2005/8/layout/orgChart1"/>
    <dgm:cxn modelId="{9FCF7D8C-EFB9-4815-8E16-3F148A904B7C}" type="presOf" srcId="{E2E22DFB-BE2B-4070-981C-B292661D9BE4}" destId="{12F322BF-CE82-46A8-B172-4F538E8CD8A5}" srcOrd="1" destOrd="0" presId="urn:microsoft.com/office/officeart/2005/8/layout/orgChart1"/>
    <dgm:cxn modelId="{F9EF0E97-AC4F-4485-B6E2-A36ED114E929}" type="presOf" srcId="{9B002427-715F-4918-A94D-8F07E24DA1E5}" destId="{9510F904-2AC6-43D2-9F56-1A73F0805B48}" srcOrd="0" destOrd="0" presId="urn:microsoft.com/office/officeart/2005/8/layout/orgChart1"/>
    <dgm:cxn modelId="{94042199-F648-4F52-896E-7D3BB6A2E8BE}" type="presOf" srcId="{64A60F2C-EDC3-4980-AB8F-E1821E99C031}" destId="{C360E8F6-C603-4B0F-BEAE-AAB4D0B0D28C}" srcOrd="0" destOrd="0" presId="urn:microsoft.com/office/officeart/2005/8/layout/orgChart1"/>
    <dgm:cxn modelId="{22D3DFA1-CC45-4B44-8E9F-8436F05C7F24}" srcId="{0CCEEDD6-6C70-4E95-B786-8B6F2C738C62}" destId="{DDC1CD98-782F-4BF6-887D-A0BEC7F6F942}" srcOrd="3" destOrd="0" parTransId="{BB85EC4B-FD6A-4C19-B8CA-073BD64A22A5}" sibTransId="{3C5F7DFE-CE44-40DA-919C-2FF53C7F6F66}"/>
    <dgm:cxn modelId="{733476A5-FFB7-478C-B2D1-D3A9545DFA81}" srcId="{FF6484FA-DD73-4330-9A7A-44584AEEDB71}" destId="{0CCEEDD6-6C70-4E95-B786-8B6F2C738C62}" srcOrd="4" destOrd="0" parTransId="{05088979-31AF-4779-8982-74822D7E6C1C}" sibTransId="{53DF7350-0FC8-4EAB-8A1D-9DF7523798DB}"/>
    <dgm:cxn modelId="{799EAEAF-FF57-46D8-AA5B-C3FF7FF96508}" srcId="{FF6484FA-DD73-4330-9A7A-44584AEEDB71}" destId="{64A60F2C-EDC3-4980-AB8F-E1821E99C031}" srcOrd="0" destOrd="0" parTransId="{C99B7F9B-9931-46EE-93DF-CF91EB41D98D}" sibTransId="{ED532B09-3B82-4339-A0B5-D277F2A81F28}"/>
    <dgm:cxn modelId="{EBD9D3BD-D58F-4484-85AF-C47B776425A1}" srcId="{FF6484FA-DD73-4330-9A7A-44584AEEDB71}" destId="{6BBC2449-F8C3-4067-9A9B-E4666EE20067}" srcOrd="1" destOrd="0" parTransId="{B4EEEF50-1173-4253-883E-11D345CC835C}" sibTransId="{F18C0C83-0AC6-455E-9E63-F22287D4CF27}"/>
    <dgm:cxn modelId="{81086FC4-7B2B-4C90-B29A-7D85723C57E0}" type="presOf" srcId="{A43B750D-94F5-48B2-B3D9-41B8772C9FEC}" destId="{7C1EBEBC-5670-48C1-9FA2-96C26E47E279}" srcOrd="1" destOrd="0" presId="urn:microsoft.com/office/officeart/2005/8/layout/orgChart1"/>
    <dgm:cxn modelId="{27A65CC5-F5E3-4481-8816-A0D0993D6F62}" type="presOf" srcId="{6BBC2449-F8C3-4067-9A9B-E4666EE20067}" destId="{985EF229-D526-42FC-8973-B13AF7EBD054}" srcOrd="1" destOrd="0" presId="urn:microsoft.com/office/officeart/2005/8/layout/orgChart1"/>
    <dgm:cxn modelId="{815890C6-204D-4182-B20E-564B6F560249}" type="presOf" srcId="{64A60F2C-EDC3-4980-AB8F-E1821E99C031}" destId="{FDA21BE5-F52E-400D-901D-CCB8820EF7DF}" srcOrd="1" destOrd="0" presId="urn:microsoft.com/office/officeart/2005/8/layout/orgChart1"/>
    <dgm:cxn modelId="{6C1DA5D9-337A-4540-9C1A-4E0E9ADDC3DC}" type="presOf" srcId="{731D9539-81B7-4CBF-8DCF-3544D207396F}" destId="{B42D3917-9BB2-4EC3-AD84-EA26697FB8D4}" srcOrd="1" destOrd="0" presId="urn:microsoft.com/office/officeart/2005/8/layout/orgChart1"/>
    <dgm:cxn modelId="{122F68E3-E91B-4FC1-857F-DDBAF250CEA3}" srcId="{0CCEEDD6-6C70-4E95-B786-8B6F2C738C62}" destId="{E2E22DFB-BE2B-4070-981C-B292661D9BE4}" srcOrd="0" destOrd="0" parTransId="{9B002427-715F-4918-A94D-8F07E24DA1E5}" sibTransId="{0B788927-FBFB-42D8-B6B9-F8C2F1A0D89F}"/>
    <dgm:cxn modelId="{4A9C6AE8-8564-4C3C-895F-5EA61AC5D759}" srcId="{0CCEEDD6-6C70-4E95-B786-8B6F2C738C62}" destId="{731D9539-81B7-4CBF-8DCF-3544D207396F}" srcOrd="2" destOrd="0" parTransId="{DD07A9D0-D22D-48C9-85BF-24012167F6A4}" sibTransId="{C0A3F3E2-5CC9-4DCC-BD46-10D1E341E1BF}"/>
    <dgm:cxn modelId="{D116CCF3-276A-4DDF-A884-227BF2DEEE86}" type="presOf" srcId="{480A8397-CAF5-4AAD-B45D-D740668118C5}" destId="{5F60ADD5-A568-4C6C-8291-1EE769641B04}" srcOrd="1" destOrd="0" presId="urn:microsoft.com/office/officeart/2005/8/layout/orgChart1"/>
    <dgm:cxn modelId="{629BBA05-13D8-462E-9632-15B97C1E33AA}" type="presParOf" srcId="{A179D33D-821A-43EB-AB6B-37AF21C8FD86}" destId="{EC50B335-7285-458F-9530-446B6BFC1427}" srcOrd="0" destOrd="0" presId="urn:microsoft.com/office/officeart/2005/8/layout/orgChart1"/>
    <dgm:cxn modelId="{33BD3B31-3A82-447C-8C65-62D539F57F6B}" type="presParOf" srcId="{EC50B335-7285-458F-9530-446B6BFC1427}" destId="{1EAA9753-3A68-409F-9F96-0ACE5B247A22}" srcOrd="0" destOrd="0" presId="urn:microsoft.com/office/officeart/2005/8/layout/orgChart1"/>
    <dgm:cxn modelId="{4F358B6F-1E98-4786-8C89-66DE56DF3573}" type="presParOf" srcId="{1EAA9753-3A68-409F-9F96-0ACE5B247A22}" destId="{C360E8F6-C603-4B0F-BEAE-AAB4D0B0D28C}" srcOrd="0" destOrd="0" presId="urn:microsoft.com/office/officeart/2005/8/layout/orgChart1"/>
    <dgm:cxn modelId="{BE625355-D000-49D8-9CCB-7D13D69F44E5}" type="presParOf" srcId="{1EAA9753-3A68-409F-9F96-0ACE5B247A22}" destId="{FDA21BE5-F52E-400D-901D-CCB8820EF7DF}" srcOrd="1" destOrd="0" presId="urn:microsoft.com/office/officeart/2005/8/layout/orgChart1"/>
    <dgm:cxn modelId="{C9755A96-71DC-4963-9896-80BA3AFE8588}" type="presParOf" srcId="{EC50B335-7285-458F-9530-446B6BFC1427}" destId="{8B9F28EE-AE5F-46CD-AC35-6F0CC50FFA28}" srcOrd="1" destOrd="0" presId="urn:microsoft.com/office/officeart/2005/8/layout/orgChart1"/>
    <dgm:cxn modelId="{C8F13855-867B-4227-909B-271CC183E30D}" type="presParOf" srcId="{EC50B335-7285-458F-9530-446B6BFC1427}" destId="{ED7079F9-3B43-40D1-8FF8-95F5C3D877CF}" srcOrd="2" destOrd="0" presId="urn:microsoft.com/office/officeart/2005/8/layout/orgChart1"/>
    <dgm:cxn modelId="{B2141E15-BA3D-4E30-BCF2-2D69EB574DE6}" type="presParOf" srcId="{A179D33D-821A-43EB-AB6B-37AF21C8FD86}" destId="{0B4C40DF-63A7-4ECE-A0F5-57ECD18F09A1}" srcOrd="1" destOrd="0" presId="urn:microsoft.com/office/officeart/2005/8/layout/orgChart1"/>
    <dgm:cxn modelId="{52A16335-1011-4240-8126-2F007CA2777B}" type="presParOf" srcId="{0B4C40DF-63A7-4ECE-A0F5-57ECD18F09A1}" destId="{382C56FC-C95B-493C-9615-1CC893AC9FC7}" srcOrd="0" destOrd="0" presId="urn:microsoft.com/office/officeart/2005/8/layout/orgChart1"/>
    <dgm:cxn modelId="{53B7863B-2C48-491C-8CC8-CCD47C98CE7E}" type="presParOf" srcId="{382C56FC-C95B-493C-9615-1CC893AC9FC7}" destId="{CE1793C7-3C64-40B7-9D07-120ABC75EB21}" srcOrd="0" destOrd="0" presId="urn:microsoft.com/office/officeart/2005/8/layout/orgChart1"/>
    <dgm:cxn modelId="{3C640367-A789-4755-A790-B93CBC26F847}" type="presParOf" srcId="{382C56FC-C95B-493C-9615-1CC893AC9FC7}" destId="{985EF229-D526-42FC-8973-B13AF7EBD054}" srcOrd="1" destOrd="0" presId="urn:microsoft.com/office/officeart/2005/8/layout/orgChart1"/>
    <dgm:cxn modelId="{797C8E69-51F8-476F-9C30-41FDF3D4759E}" type="presParOf" srcId="{0B4C40DF-63A7-4ECE-A0F5-57ECD18F09A1}" destId="{83EE93B4-296A-449B-97D4-D775A4D3F6EA}" srcOrd="1" destOrd="0" presId="urn:microsoft.com/office/officeart/2005/8/layout/orgChart1"/>
    <dgm:cxn modelId="{9C96DE6F-EAF6-4FE8-84A4-CEFB1D5FE598}" type="presParOf" srcId="{0B4C40DF-63A7-4ECE-A0F5-57ECD18F09A1}" destId="{A4D9E3C8-6CA0-4F19-B3FD-192FF7683D90}" srcOrd="2" destOrd="0" presId="urn:microsoft.com/office/officeart/2005/8/layout/orgChart1"/>
    <dgm:cxn modelId="{535E050E-FA1E-47A9-A57E-7B8DC8D11CEC}" type="presParOf" srcId="{A179D33D-821A-43EB-AB6B-37AF21C8FD86}" destId="{912D255F-F463-490E-A010-952AF64FE3B9}" srcOrd="2" destOrd="0" presId="urn:microsoft.com/office/officeart/2005/8/layout/orgChart1"/>
    <dgm:cxn modelId="{7E562825-EE90-4141-99F8-314AF51102E5}" type="presParOf" srcId="{912D255F-F463-490E-A010-952AF64FE3B9}" destId="{58EFE23F-47FB-4E49-8C76-5BFB8B6232D4}" srcOrd="0" destOrd="0" presId="urn:microsoft.com/office/officeart/2005/8/layout/orgChart1"/>
    <dgm:cxn modelId="{67E793E8-5B7D-47EF-BB60-00BFF92C6472}" type="presParOf" srcId="{58EFE23F-47FB-4E49-8C76-5BFB8B6232D4}" destId="{031A55EA-594C-4796-BDDB-1AFBC756B948}" srcOrd="0" destOrd="0" presId="urn:microsoft.com/office/officeart/2005/8/layout/orgChart1"/>
    <dgm:cxn modelId="{CCD715D9-6135-40ED-9880-15B9EF284FC7}" type="presParOf" srcId="{58EFE23F-47FB-4E49-8C76-5BFB8B6232D4}" destId="{4A9E5D39-70DF-4D1F-B2EE-AEC134491466}" srcOrd="1" destOrd="0" presId="urn:microsoft.com/office/officeart/2005/8/layout/orgChart1"/>
    <dgm:cxn modelId="{E87F0B85-BCDD-4E99-B4C2-64101CEFFC2D}" type="presParOf" srcId="{912D255F-F463-490E-A010-952AF64FE3B9}" destId="{C3167BD5-9C79-4FB8-9384-121708E1C31E}" srcOrd="1" destOrd="0" presId="urn:microsoft.com/office/officeart/2005/8/layout/orgChart1"/>
    <dgm:cxn modelId="{3210D8B7-455F-4580-8778-D586E08F7099}" type="presParOf" srcId="{912D255F-F463-490E-A010-952AF64FE3B9}" destId="{D9444819-0119-49EC-823B-8A7A0C9393F4}" srcOrd="2" destOrd="0" presId="urn:microsoft.com/office/officeart/2005/8/layout/orgChart1"/>
    <dgm:cxn modelId="{16743A34-6A04-4CAA-BBD9-7DC4585FFCF7}" type="presParOf" srcId="{A179D33D-821A-43EB-AB6B-37AF21C8FD86}" destId="{D3E299CF-C7A2-418D-AFC7-0C37F779DDDA}" srcOrd="3" destOrd="0" presId="urn:microsoft.com/office/officeart/2005/8/layout/orgChart1"/>
    <dgm:cxn modelId="{9E342518-AF33-4A80-BD28-F835846BDE01}" type="presParOf" srcId="{D3E299CF-C7A2-418D-AFC7-0C37F779DDDA}" destId="{00802E3E-1E1F-4729-9F6D-85ACE9AF27C0}" srcOrd="0" destOrd="0" presId="urn:microsoft.com/office/officeart/2005/8/layout/orgChart1"/>
    <dgm:cxn modelId="{F2531943-5F8A-4F7D-9DAD-890FC6CCA12B}" type="presParOf" srcId="{00802E3E-1E1F-4729-9F6D-85ACE9AF27C0}" destId="{AEDEE8B6-DD2A-4300-99DB-2E3E6B0C06BF}" srcOrd="0" destOrd="0" presId="urn:microsoft.com/office/officeart/2005/8/layout/orgChart1"/>
    <dgm:cxn modelId="{F7EF5C1A-857B-47C2-BFEC-8D5772C120EF}" type="presParOf" srcId="{00802E3E-1E1F-4729-9F6D-85ACE9AF27C0}" destId="{5F60ADD5-A568-4C6C-8291-1EE769641B04}" srcOrd="1" destOrd="0" presId="urn:microsoft.com/office/officeart/2005/8/layout/orgChart1"/>
    <dgm:cxn modelId="{98F25C8F-DB73-4916-9225-2869CC6D90C7}" type="presParOf" srcId="{D3E299CF-C7A2-418D-AFC7-0C37F779DDDA}" destId="{8F87FDFA-9094-4A1D-B289-B685AF5B18F0}" srcOrd="1" destOrd="0" presId="urn:microsoft.com/office/officeart/2005/8/layout/orgChart1"/>
    <dgm:cxn modelId="{36A085A3-5D06-4657-90EA-4E6DF722F010}" type="presParOf" srcId="{D3E299CF-C7A2-418D-AFC7-0C37F779DDDA}" destId="{5A24FBC9-7168-44CC-9746-3CA9CF55B3C4}" srcOrd="2" destOrd="0" presId="urn:microsoft.com/office/officeart/2005/8/layout/orgChart1"/>
    <dgm:cxn modelId="{A320D94F-BE42-43CB-90CC-54721F0E635D}" type="presParOf" srcId="{A179D33D-821A-43EB-AB6B-37AF21C8FD86}" destId="{02230FAB-14D1-49BA-9207-70E4CA99882E}" srcOrd="4" destOrd="0" presId="urn:microsoft.com/office/officeart/2005/8/layout/orgChart1"/>
    <dgm:cxn modelId="{E3617756-98EB-4B97-93FB-A0FACD9AA7D2}" type="presParOf" srcId="{02230FAB-14D1-49BA-9207-70E4CA99882E}" destId="{AC7E2328-280E-466A-9F52-ED596A8CCF37}" srcOrd="0" destOrd="0" presId="urn:microsoft.com/office/officeart/2005/8/layout/orgChart1"/>
    <dgm:cxn modelId="{4DB5C0D7-862E-4498-BC13-3E876AF15FB9}" type="presParOf" srcId="{AC7E2328-280E-466A-9F52-ED596A8CCF37}" destId="{D86EF41B-7800-46B6-916C-74E7D8D1ED24}" srcOrd="0" destOrd="0" presId="urn:microsoft.com/office/officeart/2005/8/layout/orgChart1"/>
    <dgm:cxn modelId="{944E6C64-A373-4935-B28E-6C2BD582C0B9}" type="presParOf" srcId="{AC7E2328-280E-466A-9F52-ED596A8CCF37}" destId="{7A48E504-1757-426C-9731-467BED1D7439}" srcOrd="1" destOrd="0" presId="urn:microsoft.com/office/officeart/2005/8/layout/orgChart1"/>
    <dgm:cxn modelId="{337A00FF-9E6D-41BE-87C6-1F25F38D939D}" type="presParOf" srcId="{02230FAB-14D1-49BA-9207-70E4CA99882E}" destId="{BC9C94C9-F3D3-46CD-B79D-FF1770256013}" srcOrd="1" destOrd="0" presId="urn:microsoft.com/office/officeart/2005/8/layout/orgChart1"/>
    <dgm:cxn modelId="{BCA18DF7-206F-4EE2-A8F3-B9472B0D4EC8}" type="presParOf" srcId="{BC9C94C9-F3D3-46CD-B79D-FF1770256013}" destId="{8E38D555-D362-4778-B2E9-EF6AC4CA2A8A}" srcOrd="0" destOrd="0" presId="urn:microsoft.com/office/officeart/2005/8/layout/orgChart1"/>
    <dgm:cxn modelId="{9E68721E-871C-47A8-84B3-2D8B463AB6C1}" type="presParOf" srcId="{BC9C94C9-F3D3-46CD-B79D-FF1770256013}" destId="{44ABC74E-07DF-4621-BEF3-39061B7AF64F}" srcOrd="1" destOrd="0" presId="urn:microsoft.com/office/officeart/2005/8/layout/orgChart1"/>
    <dgm:cxn modelId="{2A6B14A3-10C9-4AF9-8234-5FF4859E7874}" type="presParOf" srcId="{44ABC74E-07DF-4621-BEF3-39061B7AF64F}" destId="{062D6662-9791-410D-93AA-EB7E858BA9ED}" srcOrd="0" destOrd="0" presId="urn:microsoft.com/office/officeart/2005/8/layout/orgChart1"/>
    <dgm:cxn modelId="{DFBA1059-4B3E-47A6-A7EA-F3CA7962E495}" type="presParOf" srcId="{062D6662-9791-410D-93AA-EB7E858BA9ED}" destId="{1D981F35-8300-44E1-96E8-88882B24BAFA}" srcOrd="0" destOrd="0" presId="urn:microsoft.com/office/officeart/2005/8/layout/orgChart1"/>
    <dgm:cxn modelId="{D8DB4E8C-C1AA-46B2-B459-6756EAA4536D}" type="presParOf" srcId="{062D6662-9791-410D-93AA-EB7E858BA9ED}" destId="{7C1EBEBC-5670-48C1-9FA2-96C26E47E279}" srcOrd="1" destOrd="0" presId="urn:microsoft.com/office/officeart/2005/8/layout/orgChart1"/>
    <dgm:cxn modelId="{528BEBEE-0985-43AF-9231-D2A3604B34BA}" type="presParOf" srcId="{44ABC74E-07DF-4621-BEF3-39061B7AF64F}" destId="{E81E2273-B1A5-46E1-8E59-981699F81A23}" srcOrd="1" destOrd="0" presId="urn:microsoft.com/office/officeart/2005/8/layout/orgChart1"/>
    <dgm:cxn modelId="{A2137DD9-7E9A-4338-A0E5-1C5FE16C37CB}" type="presParOf" srcId="{44ABC74E-07DF-4621-BEF3-39061B7AF64F}" destId="{4C409D7B-172C-4FD4-B4F9-5E87EC183220}" srcOrd="2" destOrd="0" presId="urn:microsoft.com/office/officeart/2005/8/layout/orgChart1"/>
    <dgm:cxn modelId="{C6856506-3B3E-4CDC-AAAD-36F6B800B90F}" type="presParOf" srcId="{BC9C94C9-F3D3-46CD-B79D-FF1770256013}" destId="{87024771-195F-4EA2-AC40-633C0D3D6C05}" srcOrd="2" destOrd="0" presId="urn:microsoft.com/office/officeart/2005/8/layout/orgChart1"/>
    <dgm:cxn modelId="{67A19159-00DD-431F-9F10-2F30D208F239}" type="presParOf" srcId="{BC9C94C9-F3D3-46CD-B79D-FF1770256013}" destId="{A07104D7-B83B-4D87-B042-A136FA1B5387}" srcOrd="3" destOrd="0" presId="urn:microsoft.com/office/officeart/2005/8/layout/orgChart1"/>
    <dgm:cxn modelId="{BD8A5090-680B-4E64-8654-65A81DC83ED9}" type="presParOf" srcId="{A07104D7-B83B-4D87-B042-A136FA1B5387}" destId="{086D2C39-C4E7-4BBE-B10E-7AD8F3AA88DF}" srcOrd="0" destOrd="0" presId="urn:microsoft.com/office/officeart/2005/8/layout/orgChart1"/>
    <dgm:cxn modelId="{035618F8-9F7E-4709-A248-630E0665530A}" type="presParOf" srcId="{086D2C39-C4E7-4BBE-B10E-7AD8F3AA88DF}" destId="{2FBDFE47-C5AC-4166-95B3-6F1D04CB6726}" srcOrd="0" destOrd="0" presId="urn:microsoft.com/office/officeart/2005/8/layout/orgChart1"/>
    <dgm:cxn modelId="{2D62A6EE-35D5-46DE-8C46-1CC3A6DB71AC}" type="presParOf" srcId="{086D2C39-C4E7-4BBE-B10E-7AD8F3AA88DF}" destId="{B42D3917-9BB2-4EC3-AD84-EA26697FB8D4}" srcOrd="1" destOrd="0" presId="urn:microsoft.com/office/officeart/2005/8/layout/orgChart1"/>
    <dgm:cxn modelId="{407D60F9-704A-45BC-9C7C-3D7FF7727365}" type="presParOf" srcId="{A07104D7-B83B-4D87-B042-A136FA1B5387}" destId="{01B93254-49DA-4B1A-8521-1596063A7901}" srcOrd="1" destOrd="0" presId="urn:microsoft.com/office/officeart/2005/8/layout/orgChart1"/>
    <dgm:cxn modelId="{B9B79E75-9178-4F25-8F3A-0BBBFB6743A3}" type="presParOf" srcId="{A07104D7-B83B-4D87-B042-A136FA1B5387}" destId="{3CA8A97F-83E6-4C88-8859-723BF9415952}" srcOrd="2" destOrd="0" presId="urn:microsoft.com/office/officeart/2005/8/layout/orgChart1"/>
    <dgm:cxn modelId="{3ED5BC04-A845-44DE-9CAF-6EEEF263D2B6}" type="presParOf" srcId="{BC9C94C9-F3D3-46CD-B79D-FF1770256013}" destId="{5A4407F4-F822-4DFD-A7AC-6AE40A540979}" srcOrd="4" destOrd="0" presId="urn:microsoft.com/office/officeart/2005/8/layout/orgChart1"/>
    <dgm:cxn modelId="{646B1EF6-D37D-4CCC-8C70-7248A779A472}" type="presParOf" srcId="{BC9C94C9-F3D3-46CD-B79D-FF1770256013}" destId="{DF0575E6-44E7-4271-B129-ACAAA59A9752}" srcOrd="5" destOrd="0" presId="urn:microsoft.com/office/officeart/2005/8/layout/orgChart1"/>
    <dgm:cxn modelId="{3428F9DE-7A17-403C-8F70-FE0B944F0C56}" type="presParOf" srcId="{DF0575E6-44E7-4271-B129-ACAAA59A9752}" destId="{EE18D2C0-4A13-4ABB-B6F2-1F5EF782CA03}" srcOrd="0" destOrd="0" presId="urn:microsoft.com/office/officeart/2005/8/layout/orgChart1"/>
    <dgm:cxn modelId="{F19131A9-BD31-41AF-B4C0-81CF6C462D9F}" type="presParOf" srcId="{EE18D2C0-4A13-4ABB-B6F2-1F5EF782CA03}" destId="{E0D5D609-0FE1-4BEC-A850-96492783C7D7}" srcOrd="0" destOrd="0" presId="urn:microsoft.com/office/officeart/2005/8/layout/orgChart1"/>
    <dgm:cxn modelId="{59E7416B-7211-42A1-85E6-BFB6BFD8127E}" type="presParOf" srcId="{EE18D2C0-4A13-4ABB-B6F2-1F5EF782CA03}" destId="{9288AC9B-600E-4E86-8153-A20D61643DD0}" srcOrd="1" destOrd="0" presId="urn:microsoft.com/office/officeart/2005/8/layout/orgChart1"/>
    <dgm:cxn modelId="{ED6C747C-F2D7-44F9-A6A1-BB0FB18597DB}" type="presParOf" srcId="{DF0575E6-44E7-4271-B129-ACAAA59A9752}" destId="{4CE6B81D-A99B-4C9F-AD69-82E042D360BB}" srcOrd="1" destOrd="0" presId="urn:microsoft.com/office/officeart/2005/8/layout/orgChart1"/>
    <dgm:cxn modelId="{9AF6D227-BFD7-4D9D-8E07-16739A33FEDC}" type="presParOf" srcId="{DF0575E6-44E7-4271-B129-ACAAA59A9752}" destId="{4A09820F-AF6B-4C90-8A7F-056443BCF797}" srcOrd="2" destOrd="0" presId="urn:microsoft.com/office/officeart/2005/8/layout/orgChart1"/>
    <dgm:cxn modelId="{CECE628B-18A1-4B2F-8E6D-3EDB77BB4F10}" type="presParOf" srcId="{02230FAB-14D1-49BA-9207-70E4CA99882E}" destId="{B0FF24A6-5B20-470A-8269-9A1655A1A1E2}" srcOrd="2" destOrd="0" presId="urn:microsoft.com/office/officeart/2005/8/layout/orgChart1"/>
    <dgm:cxn modelId="{B14165D4-DE3A-47F7-BEE9-B805C978A846}" type="presParOf" srcId="{B0FF24A6-5B20-470A-8269-9A1655A1A1E2}" destId="{9510F904-2AC6-43D2-9F56-1A73F0805B48}" srcOrd="0" destOrd="0" presId="urn:microsoft.com/office/officeart/2005/8/layout/orgChart1"/>
    <dgm:cxn modelId="{C0656CB2-FCCD-4B17-84FE-E7508304297F}" type="presParOf" srcId="{B0FF24A6-5B20-470A-8269-9A1655A1A1E2}" destId="{350737C9-A0E3-4575-95C6-2FA317887BDB}" srcOrd="1" destOrd="0" presId="urn:microsoft.com/office/officeart/2005/8/layout/orgChart1"/>
    <dgm:cxn modelId="{30A61A71-A0AB-468B-A1FB-9CB109CD7769}" type="presParOf" srcId="{350737C9-A0E3-4575-95C6-2FA317887BDB}" destId="{D3475624-A705-4297-9173-5777FD42BAEB}" srcOrd="0" destOrd="0" presId="urn:microsoft.com/office/officeart/2005/8/layout/orgChart1"/>
    <dgm:cxn modelId="{521C893E-F6CB-40B4-905E-F28357027D1F}" type="presParOf" srcId="{D3475624-A705-4297-9173-5777FD42BAEB}" destId="{C3C3C810-1A9F-47C4-B2F5-BE0E112959A0}" srcOrd="0" destOrd="0" presId="urn:microsoft.com/office/officeart/2005/8/layout/orgChart1"/>
    <dgm:cxn modelId="{0468A433-5B09-4CEC-A321-871A56BE60B3}" type="presParOf" srcId="{D3475624-A705-4297-9173-5777FD42BAEB}" destId="{12F322BF-CE82-46A8-B172-4F538E8CD8A5}" srcOrd="1" destOrd="0" presId="urn:microsoft.com/office/officeart/2005/8/layout/orgChart1"/>
    <dgm:cxn modelId="{030313E3-F58C-4A01-A3D7-9A5C94074B44}" type="presParOf" srcId="{350737C9-A0E3-4575-95C6-2FA317887BDB}" destId="{E6815AB5-6F07-42BA-AAF5-D3CBCBB4D5D1}" srcOrd="1" destOrd="0" presId="urn:microsoft.com/office/officeart/2005/8/layout/orgChart1"/>
    <dgm:cxn modelId="{DB88A338-8AA3-4680-9DDF-9678634D81D6}" type="presParOf" srcId="{350737C9-A0E3-4575-95C6-2FA317887BDB}" destId="{B34874B8-E33F-47A7-9206-EC781A3107B2}"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10F904-2AC6-43D2-9F56-1A73F0805B48}">
      <dsp:nvSpPr>
        <dsp:cNvPr id="0" name=""/>
        <dsp:cNvSpPr/>
      </dsp:nvSpPr>
      <dsp:spPr>
        <a:xfrm>
          <a:off x="4010409" y="558909"/>
          <a:ext cx="91440" cy="356260"/>
        </a:xfrm>
        <a:custGeom>
          <a:avLst/>
          <a:gdLst/>
          <a:ahLst/>
          <a:cxnLst/>
          <a:rect l="0" t="0" r="0" b="0"/>
          <a:pathLst>
            <a:path>
              <a:moveTo>
                <a:pt x="127040" y="0"/>
              </a:moveTo>
              <a:lnTo>
                <a:pt x="127040" y="356260"/>
              </a:lnTo>
              <a:lnTo>
                <a:pt x="45720" y="3562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4407F4-F822-4DFD-A7AC-6AE40A540979}">
      <dsp:nvSpPr>
        <dsp:cNvPr id="0" name=""/>
        <dsp:cNvSpPr/>
      </dsp:nvSpPr>
      <dsp:spPr>
        <a:xfrm>
          <a:off x="4137450" y="558909"/>
          <a:ext cx="937120" cy="712521"/>
        </a:xfrm>
        <a:custGeom>
          <a:avLst/>
          <a:gdLst/>
          <a:ahLst/>
          <a:cxnLst/>
          <a:rect l="0" t="0" r="0" b="0"/>
          <a:pathLst>
            <a:path>
              <a:moveTo>
                <a:pt x="0" y="0"/>
              </a:moveTo>
              <a:lnTo>
                <a:pt x="0" y="631200"/>
              </a:lnTo>
              <a:lnTo>
                <a:pt x="937120" y="631200"/>
              </a:lnTo>
              <a:lnTo>
                <a:pt x="937120" y="7125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024771-195F-4EA2-AC40-633C0D3D6C05}">
      <dsp:nvSpPr>
        <dsp:cNvPr id="0" name=""/>
        <dsp:cNvSpPr/>
      </dsp:nvSpPr>
      <dsp:spPr>
        <a:xfrm>
          <a:off x="4091730" y="558909"/>
          <a:ext cx="91440" cy="712521"/>
        </a:xfrm>
        <a:custGeom>
          <a:avLst/>
          <a:gdLst/>
          <a:ahLst/>
          <a:cxnLst/>
          <a:rect l="0" t="0" r="0" b="0"/>
          <a:pathLst>
            <a:path>
              <a:moveTo>
                <a:pt x="45720" y="0"/>
              </a:moveTo>
              <a:lnTo>
                <a:pt x="45720" y="7125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38D555-D362-4778-B2E9-EF6AC4CA2A8A}">
      <dsp:nvSpPr>
        <dsp:cNvPr id="0" name=""/>
        <dsp:cNvSpPr/>
      </dsp:nvSpPr>
      <dsp:spPr>
        <a:xfrm>
          <a:off x="3200330" y="558909"/>
          <a:ext cx="937120" cy="712521"/>
        </a:xfrm>
        <a:custGeom>
          <a:avLst/>
          <a:gdLst/>
          <a:ahLst/>
          <a:cxnLst/>
          <a:rect l="0" t="0" r="0" b="0"/>
          <a:pathLst>
            <a:path>
              <a:moveTo>
                <a:pt x="937120" y="0"/>
              </a:moveTo>
              <a:lnTo>
                <a:pt x="937120" y="631200"/>
              </a:lnTo>
              <a:lnTo>
                <a:pt x="0" y="631200"/>
              </a:lnTo>
              <a:lnTo>
                <a:pt x="0" y="7125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60E8F6-C603-4B0F-BEAE-AAB4D0B0D28C}">
      <dsp:nvSpPr>
        <dsp:cNvPr id="0" name=""/>
        <dsp:cNvSpPr/>
      </dsp:nvSpPr>
      <dsp:spPr>
        <a:xfrm>
          <a:off x="1729" y="171670"/>
          <a:ext cx="774479" cy="3872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Font typeface="+mj-lt"/>
            <a:buNone/>
          </a:pPr>
          <a:r>
            <a:rPr lang="es-EC" sz="700" b="0" i="1" kern="1200">
              <a:solidFill>
                <a:schemeClr val="tx1"/>
              </a:solidFill>
            </a:rPr>
            <a:t>Sospecha clínica: Evaluar síntomas y factores de riesgo.</a:t>
          </a:r>
          <a:endParaRPr lang="es-EC" sz="700" i="1" kern="1200">
            <a:solidFill>
              <a:schemeClr val="tx1"/>
            </a:solidFill>
          </a:endParaRPr>
        </a:p>
      </dsp:txBody>
      <dsp:txXfrm>
        <a:off x="1729" y="171670"/>
        <a:ext cx="774479" cy="387239"/>
      </dsp:txXfrm>
    </dsp:sp>
    <dsp:sp modelId="{CE1793C7-3C64-40B7-9D07-120ABC75EB21}">
      <dsp:nvSpPr>
        <dsp:cNvPr id="0" name=""/>
        <dsp:cNvSpPr/>
      </dsp:nvSpPr>
      <dsp:spPr>
        <a:xfrm>
          <a:off x="938850" y="171670"/>
          <a:ext cx="774479" cy="3872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Font typeface="+mj-lt"/>
            <a:buNone/>
          </a:pPr>
          <a:r>
            <a:rPr lang="es-EC" sz="700" b="0" i="1" kern="1200">
              <a:solidFill>
                <a:schemeClr val="tx1"/>
              </a:solidFill>
            </a:rPr>
            <a:t>Medición inicial de TSH: Si está elevada, medir T4 libre.</a:t>
          </a:r>
        </a:p>
      </dsp:txBody>
      <dsp:txXfrm>
        <a:off x="938850" y="171670"/>
        <a:ext cx="774479" cy="387239"/>
      </dsp:txXfrm>
    </dsp:sp>
    <dsp:sp modelId="{031A55EA-594C-4796-BDDB-1AFBC756B948}">
      <dsp:nvSpPr>
        <dsp:cNvPr id="0" name=""/>
        <dsp:cNvSpPr/>
      </dsp:nvSpPr>
      <dsp:spPr>
        <a:xfrm>
          <a:off x="1875970" y="171670"/>
          <a:ext cx="774479" cy="7214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Font typeface="+mj-lt"/>
            <a:buNone/>
          </a:pPr>
          <a:r>
            <a:rPr lang="es-EC" sz="700" b="0" i="1" kern="1200">
              <a:solidFill>
                <a:schemeClr val="tx1"/>
              </a:solidFill>
            </a:rPr>
            <a:t>Si TSH está elevada y T4 libre baja: Confirma hipotiroidismo primario manifiesto.</a:t>
          </a:r>
        </a:p>
      </dsp:txBody>
      <dsp:txXfrm>
        <a:off x="1875970" y="171670"/>
        <a:ext cx="774479" cy="721416"/>
      </dsp:txXfrm>
    </dsp:sp>
    <dsp:sp modelId="{AEDEE8B6-DD2A-4300-99DB-2E3E6B0C06BF}">
      <dsp:nvSpPr>
        <dsp:cNvPr id="0" name=""/>
        <dsp:cNvSpPr/>
      </dsp:nvSpPr>
      <dsp:spPr>
        <a:xfrm>
          <a:off x="2813090" y="171670"/>
          <a:ext cx="774479" cy="5477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Font typeface="+mj-lt"/>
            <a:buNone/>
          </a:pPr>
          <a:r>
            <a:rPr lang="es-EC" sz="700" b="0" i="1" kern="1200">
              <a:solidFill>
                <a:schemeClr val="tx1"/>
              </a:solidFill>
            </a:rPr>
            <a:t>Si TSH está elevada y T4 libre normal: Hipotiroidismo subclínico.</a:t>
          </a:r>
        </a:p>
      </dsp:txBody>
      <dsp:txXfrm>
        <a:off x="2813090" y="171670"/>
        <a:ext cx="774479" cy="547700"/>
      </dsp:txXfrm>
    </dsp:sp>
    <dsp:sp modelId="{D86EF41B-7800-46B6-916C-74E7D8D1ED24}">
      <dsp:nvSpPr>
        <dsp:cNvPr id="0" name=""/>
        <dsp:cNvSpPr/>
      </dsp:nvSpPr>
      <dsp:spPr>
        <a:xfrm>
          <a:off x="3750210" y="171670"/>
          <a:ext cx="774479" cy="3872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Font typeface="+mj-lt"/>
            <a:buNone/>
          </a:pPr>
          <a:r>
            <a:rPr lang="es-EC" sz="700" b="0" i="1" kern="1200">
              <a:solidFill>
                <a:schemeClr val="tx1"/>
              </a:solidFill>
            </a:rPr>
            <a:t>**Considerar medición :</a:t>
          </a:r>
        </a:p>
      </dsp:txBody>
      <dsp:txXfrm>
        <a:off x="3750210" y="171670"/>
        <a:ext cx="774479" cy="387239"/>
      </dsp:txXfrm>
    </dsp:sp>
    <dsp:sp modelId="{1D981F35-8300-44E1-96E8-88882B24BAFA}">
      <dsp:nvSpPr>
        <dsp:cNvPr id="0" name=""/>
        <dsp:cNvSpPr/>
      </dsp:nvSpPr>
      <dsp:spPr>
        <a:xfrm>
          <a:off x="2813090" y="1271430"/>
          <a:ext cx="774479" cy="3872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EC" sz="700" b="0" i="1" kern="1200">
              <a:solidFill>
                <a:schemeClr val="tx1"/>
              </a:solidFill>
            </a:rPr>
            <a:t>ecografía y/o</a:t>
          </a:r>
          <a:endParaRPr lang="es-EC" sz="700" i="1" kern="1200">
            <a:solidFill>
              <a:schemeClr val="tx1"/>
            </a:solidFill>
          </a:endParaRPr>
        </a:p>
      </dsp:txBody>
      <dsp:txXfrm>
        <a:off x="2813090" y="1271430"/>
        <a:ext cx="774479" cy="387239"/>
      </dsp:txXfrm>
    </dsp:sp>
    <dsp:sp modelId="{2FBDFE47-C5AC-4166-95B3-6F1D04CB6726}">
      <dsp:nvSpPr>
        <dsp:cNvPr id="0" name=""/>
        <dsp:cNvSpPr/>
      </dsp:nvSpPr>
      <dsp:spPr>
        <a:xfrm>
          <a:off x="3750210" y="1271430"/>
          <a:ext cx="774479" cy="8276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EC" sz="700" b="0" i="1" kern="1200">
              <a:solidFill>
                <a:schemeClr val="tx1"/>
              </a:solidFill>
            </a:rPr>
            <a:t>gammagrafía en casos seleccionados: Permite evaluar la captación y distribución del radioisótopo en la glándula tiroides.</a:t>
          </a:r>
          <a:endParaRPr lang="es-EC" sz="700" i="1" kern="1200">
            <a:solidFill>
              <a:schemeClr val="tx1"/>
            </a:solidFill>
          </a:endParaRPr>
        </a:p>
      </dsp:txBody>
      <dsp:txXfrm>
        <a:off x="3750210" y="1271430"/>
        <a:ext cx="774479" cy="827659"/>
      </dsp:txXfrm>
    </dsp:sp>
    <dsp:sp modelId="{E0D5D609-0FE1-4BEC-A850-96492783C7D7}">
      <dsp:nvSpPr>
        <dsp:cNvPr id="0" name=""/>
        <dsp:cNvSpPr/>
      </dsp:nvSpPr>
      <dsp:spPr>
        <a:xfrm>
          <a:off x="4687330" y="1271430"/>
          <a:ext cx="774479" cy="3872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Font typeface="Arial" panose="020B0604020202020204" pitchFamily="34" charset="0"/>
            <a:buNone/>
          </a:pPr>
          <a:r>
            <a:rPr lang="es-EC" sz="700" b="0" i="1" kern="1200">
              <a:solidFill>
                <a:schemeClr val="tx1"/>
              </a:solidFill>
            </a:rPr>
            <a:t>Útil para diferenciar entre hipotiroidismo primario y secundario/terciario</a:t>
          </a:r>
        </a:p>
      </dsp:txBody>
      <dsp:txXfrm>
        <a:off x="4687330" y="1271430"/>
        <a:ext cx="774479" cy="387239"/>
      </dsp:txXfrm>
    </dsp:sp>
    <dsp:sp modelId="{C3C3C810-1A9F-47C4-B2F5-BE0E112959A0}">
      <dsp:nvSpPr>
        <dsp:cNvPr id="0" name=""/>
        <dsp:cNvSpPr/>
      </dsp:nvSpPr>
      <dsp:spPr>
        <a:xfrm>
          <a:off x="3281650" y="721550"/>
          <a:ext cx="774479" cy="3872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EC" sz="700" b="0" i="1" kern="1200">
              <a:solidFill>
                <a:schemeClr val="tx1"/>
              </a:solidFill>
            </a:rPr>
            <a:t>anticuerpos antitiroideos, </a:t>
          </a:r>
          <a:endParaRPr lang="es-EC" sz="700" i="1" kern="1200">
            <a:solidFill>
              <a:schemeClr val="tx1"/>
            </a:solidFill>
          </a:endParaRPr>
        </a:p>
      </dsp:txBody>
      <dsp:txXfrm>
        <a:off x="3281650" y="721550"/>
        <a:ext cx="774479" cy="38723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Lau22</b:Tag>
    <b:SourceType>JournalArticle</b:SourceType>
    <b:Guid>{E9B267C3-5936-4A97-9AB1-9C262F245152}</b:Guid>
    <b:Title>Secuelas a largo plazo de COVID-19</b:Title>
    <b:JournalName>Revista Española de salud Publica</b:JournalName>
    <b:Year>2022</b:Year>
    <b:Month>Octubre</b:Month>
    <b:Author>
      <b:Author>
        <b:NameList>
          <b:Person>
            <b:Last>Falcón</b:Last>
            <b:First>Laura</b:First>
            <b:Middle>Stephanie Llamosas</b:Middle>
          </b:Person>
        </b:NameList>
      </b:Author>
    </b:Author>
    <b:Day>12</b:Day>
    <b:URL>https://www.sanidad.gob.es/biblioPublic/publicaciones/recursos_propios/resp/revista_cdrom/Suplementos/Perspectivas/perspectivas12_llamosas.pdf</b:URL>
    <b:RefOrder>19</b:RefOrder>
  </b:Source>
  <b:Source>
    <b:Tag>Med22</b:Tag>
    <b:SourceType>JournalArticle</b:SourceType>
    <b:Guid>{67E352FF-25CE-4746-9A49-61249574FDAF}</b:Guid>
    <b:Title>Las secuelas de la COVID-19: entre la anosmia y la ageusia</b:Title>
    <b:JournalName>Acta Otorrinolaringol Esp. 2022 May-June; 73(3): 200.</b:JournalName>
    <b:Year> 2022</b:Year>
    <b:Month>Mayo</b:Month>
    <b:Volume>73</b:Volume>
    <b:Issue>3</b:Issue>
    <b:Author>
      <b:Author>
        <b:NameList>
          <b:Person>
            <b:Last>Medina</b:Last>
            <b:First>Aldo</b:First>
          </b:Person>
          <b:Person>
            <b:Last>al</b:Last>
            <b:First>et</b:First>
          </b:Person>
        </b:NameList>
      </b:Author>
    </b:Author>
    <b:Pages>200</b:Pages>
    <b:URL>https://www.ncbi.nlm.nih.gov/pmc/articles/PMC8494994/</b:URL>
    <b:RefOrder>20</b:RefOrder>
  </b:Source>
  <b:Source>
    <b:Tag>Les21</b:Tag>
    <b:SourceType>JournalArticle</b:SourceType>
    <b:Guid>{FC103757-9A9A-419D-A9B3-4AAB730594D8}</b:Guid>
    <b:Title>Secuelas post-COVID en salud mental: una revisión narrativa</b:Title>
    <b:JournalName>Rev. Med. Vallejiana </b:JournalName>
    <b:Year>2021</b:Year>
    <b:Month>Junio</b:Month>
    <b:Volume>10</b:Volume>
    <b:Issue>2</b:Issue>
    <b:Author>
      <b:Author>
        <b:NameList>
          <b:Person>
            <b:Last>Leslie E. Aguilar-Sigüeñas1</b:Last>
            <b:First>Yulissa</b:First>
            <b:Middle>K. Cruz-Vásquez2David Villarreal-Zegarra</b:Middle>
          </b:Person>
        </b:NameList>
      </b:Author>
    </b:Author>
    <b:URL>http://revistas.ucv.edu.pe/index.php/revistamedicavallejiana/article/view/270/260</b:URL>
    <b:RefOrder>21</b:RefOrder>
  </b:Source>
  <b:Source>
    <b:Tag>Raf21</b:Tag>
    <b:SourceType>JournalArticle</b:SourceType>
    <b:Guid>{2A3DC16D-6C02-4FFF-BC19-8A140CED7DD1}</b:Guid>
    <b:Title>Rafael Urriola U.</b:Title>
    <b:JournalName>Cuaderno Medico Sociales</b:JournalName>
    <b:Year>2021</b:Year>
    <b:Volume>61</b:Volume>
    <b:Issue>2</b:Issue>
    <b:URL>https://cuadernosms.cl/index.php/cms/article/view/43</b:URL>
    <b:ShortTitle>Secuelas sanitario-epidemiológicas y económicas de la covid-19</b:ShortTitle>
    <b:RefOrder>22</b:RefOrder>
  </b:Source>
  <b:Source>
    <b:Tag>Rue21</b:Tag>
    <b:SourceType>DocumentFromInternetSite</b:SourceType>
    <b:Guid>{AAA90158-ED29-4AAA-81DA-F5B796DA358D}</b:Guid>
    <b:Title>Manifestaciones neurologicas del COVID-19 y sus posibles secuelas</b:Title>
    <b:JournalName>Universidad de Zaragosa</b:JournalName>
    <b:Year>2021</b:Year>
    <b:Author>
      <b:Author>
        <b:NameList>
          <b:Person>
            <b:Last>Rueda Pérez</b:Last>
            <b:First>Pablo</b:First>
          </b:Person>
        </b:NameList>
      </b:Author>
    </b:Author>
    <b:URL>https://zaguan.unizar.es/record/111262</b:URL>
    <b:RefOrder>23</b:RefOrder>
  </b:Source>
  <b:Source>
    <b:Tag>Rev21</b:Tag>
    <b:SourceType>JournalArticle</b:SourceType>
    <b:Guid>{D7CFB46D-10FD-4B53-B0C7-7AC21008CEDB}</b:Guid>
    <b:Year>2021</b:Year>
    <b:URL>https://www.scielo.org.mx/scielo.php?pid=S2448-91902020000400350&amp;script=sci_arttext</b:URL>
    <b:Title>Seguimiento de los pacientes después de neumonía por COVID-19. Secuelas pulmonares</b:Title>
    <b:JournalName>Rev. alerg. Méx.</b:JournalName>
    <b:Volume>67</b:Volume>
    <b:Issue>4</b:Issue>
    <b:Author>
      <b:Author>
        <b:NameList>
          <b:Person>
            <b:Last>Chérrez-Ojeda</b:Last>
            <b:First>Iván</b:First>
          </b:Person>
          <b:Person>
            <b:Last>al</b:Last>
            <b:First>et</b:First>
          </b:Person>
        </b:NameList>
      </b:Author>
    </b:Author>
    <b:RefOrder>24</b:RefOrder>
  </b:Source>
  <b:Source>
    <b:Tag>Vic23</b:Tag>
    <b:SourceType>JournalArticle</b:SourceType>
    <b:Guid>{995546A3-DB7D-490C-964C-D3EB9666DF83}</b:Guid>
    <b:Title>Urgent care and suicidal behavior in the child and adolescent population in a psychiatric emergency department in a Spanish province during the two COVID-19 states of alarm</b:Title>
    <b:Year>2023</b:Year>
    <b:Volume>16</b:Volume>
    <b:Issue>1</b:Issue>
    <b:Author>
      <b:Author>
        <b:NameList>
          <b:Person>
            <b:Last>Vicent Llorca-Bofí</b:Last>
            <b:First>et</b:First>
            <b:Middle>al</b:Middle>
          </b:Person>
        </b:NameList>
      </b:Author>
    </b:Author>
    <b:Pages> 76-83</b:Pages>
    <b:URL>https://www.sciencedirect.com/science/article/pii/S1888989122000659?via%3Dihub</b:URL>
    <b:RefOrder>25</b:RefOrder>
  </b:Source>
  <b:Source>
    <b:Tag>Ara20</b:Tag>
    <b:SourceType>JournalArticle</b:SourceType>
    <b:Guid>{BC6A6010-5E77-42E0-8B87-46CAF59B56CE}</b:Guid>
    <b:Year>2020</b:Year>
    <b:URL>http://www.scielo.org.bo/pdf/chc/v61n1/v61n1_a12.pdf</b:URL>
    <b:Title>Complicaciones Neurologicas psiquiatricas del covid -19 </b:Title>
    <b:JournalName>Lancet Psychiatry</b:JournalName>
    <b:Month>Junio</b:Month>
    <b:Author>
      <b:Author>
        <b:NameList>
          <b:Person>
            <b:Last>Aravinthan Varatharaj</b:Last>
            <b:First>Naomi</b:First>
            <b:Middle>Thomas, Mark A Ellul, Nicholas W S Davies, Thomas A Pollak, Elizabeth L</b:Middle>
          </b:Person>
        </b:NameList>
      </b:Author>
    </b:Author>
    <b:RefOrder>26</b:RefOrder>
  </b:Source>
  <b:Source>
    <b:Tag>Bro20</b:Tag>
    <b:SourceType>JournalArticle</b:SourceType>
    <b:Guid>{F478E729-EE5A-474D-9F77-5DC91C60FE39}</b:Guid>
    <b:Author>
      <b:Author>
        <b:NameList>
          <b:Person>
            <b:Last>Brooks</b:Last>
            <b:First>S.</b:First>
            <b:Middle>K., Webster, R. K., Smith, L. E., Woodland, L., Wessely, S., Greenberg, N., &amp; Rubin, G. J.</b:Middle>
          </b:Person>
        </b:NameList>
      </b:Author>
    </b:Author>
    <b:Title>El impacto psicológico de la cuarentena y cómo reducirla: revisión rápida de la evidencia</b:Title>
    <b:JournalName>The lancet</b:JournalName>
    <b:Year>2020</b:Year>
    <b:Month>marzo</b:Month>
    <b:Volume>395</b:Volume>
    <b:Issue>10227</b:Issue>
    <b:Pages>912-920</b:Pages>
    <b:URL>https://www.thelancet.com/journals/lancet/article/PIIS0140-6736(20)30460-8/fulltext?cid=in%3Adisplay%3Alfhtn0&amp;dclid=CNKCgb7nle0CFVUkjwodG0YCkg</b:URL>
    <b:RefOrder>27</b:RefOrder>
  </b:Source>
  <b:Source>
    <b:Tag>LCV201</b:Tag>
    <b:SourceType>JournalArticle</b:SourceType>
    <b:Guid>{F1689A91-FD0D-43B2-84A5-B69EEEBCDF63}</b:Guid>
    <b:Author>
      <b:Author>
        <b:NameList>
          <b:Person>
            <b:Last>Pérez</b:Last>
            <b:First>Luis</b:First>
            <b:Middle>Velázquez</b:Middle>
          </b:Person>
        </b:NameList>
      </b:Author>
    </b:Author>
    <b:Title>La COVID-19: reto para la ciencia mundial</b:Title>
    <b:JournalName>Anales de la Academia de Ciencias deCuba</b:JournalName>
    <b:Year>2020</b:Year>
    <b:Volume>10</b:Volume>
    <b:Issue>2</b:Issue>
    <b:URL>http://www.revistaccuba.sld.cu/index.php/revacc/article/view/763/792</b:URL>
    <b:DOI>http://www.revistaccuba.sld.cu/index.php/revacc/article/view/763/792</b:DOI>
    <b:RefOrder>28</b:RefOrder>
  </b:Source>
  <b:Source>
    <b:Tag>Aso20</b:Tag>
    <b:SourceType>JournalArticle</b:SourceType>
    <b:Guid>{DADAF467-66BA-462D-85DB-BFA18A271BC1}</b:Guid>
    <b:Title>Asociación de Salud Mental y Psiquiatría Comunitaria. Guía de apoyo psicosocial durante esta epidemia de coronavirus</b:Title>
    <b:JournalName>OME-AEN</b:JournalName>
    <b:Year>2020</b:Year>
    <b:URL>https://ome-aen.org/guia-de-apoyo-psicosocial-durante-esta- epidemia-de-coronavirus/</b:URL>
    <b:RefOrder>29</b:RefOrder>
  </b:Source>
  <b:Source>
    <b:Tag>Rib19</b:Tag>
    <b:SourceType>JournalArticle</b:SourceType>
    <b:Guid>{464AA6A8-CA7E-4B04-84EB-495B528F6DAD}</b:Guid>
    <b:Author>
      <b:Author>
        <b:NameList>
          <b:Person>
            <b:Last>Ribot Reyes Victoria</b:Last>
            <b:First>Chang</b:First>
            <b:Middle>Paredes Niurka, González Castillo Anthonio</b:Middle>
          </b:Person>
        </b:NameList>
      </b:Author>
    </b:Author>
    <b:Title>Efectos de la COVID- 19 en la salud mental de lapoblación</b:Title>
    <b:JournalName>Revista Habanera De Ciencias Medicas</b:JournalName>
    <b:Year>2019</b:Year>
    <b:Volume>19</b:Volume>
    <b:URL>11.	Ribot Reyes VC, Chang Paredes N, González Castillo AL. Efectos de la COVID- 19 en la salud mental de lapoblación.http://www.revhabanera.sld.cu/index.php/rhab/articl</b:URL>
    <b:RefOrder>30</b:RefOrder>
  </b:Source>
  <b:Source>
    <b:Tag>Mor20</b:Tag>
    <b:SourceType>InternetSite</b:SourceType>
    <b:Guid>{6C5D1546-4070-4589-B173-566D5D6FC614}</b:Guid>
    <b:Title>Mortalidad por suicidio y COVID-19: ¿una tormenta perfecta?</b:Title>
    <b:JournalName>IntraMed</b:JournalName>
    <b:Year>2020</b:Year>
    <b:Author>
      <b:Author>
        <b:Corporate>IntraMed</b:Corporate>
      </b:Author>
    </b:Author>
    <b:RefOrder>31</b:RefOrder>
  </b:Source>
  <b:Source>
    <b:Tag>Shw20</b:Tag>
    <b:SourceType>JournalArticle</b:SourceType>
    <b:Guid>{1BE947E2-80D1-4B54-B23D-C3784AD0C874}</b:Guid>
    <b:Author>
      <b:Author>
        <b:NameList>
          <b:Person>
            <b:Last>Shweta singh</b:Last>
            <b:First>Deblina</b:First>
            <b:Middle>Roy, Krittika Sinha, Sheeba Parveen, Ginni sharma , Gunjan Joshi</b:Middle>
          </b:Person>
        </b:NameList>
      </b:Author>
    </b:Author>
    <b:Title>Impacto de COVID-19 y bloqueo en la salud mental de niños y adolescentes: una revisión narrativa con recomendaciones</b:Title>
    <b:JournalName>Psiquiatría Res</b:JournalName>
    <b:Year>2020</b:Year>
    <b:Month>Noviembre</b:Month>
    <b:Pages>293</b:Pages>
    <b:URL>https://pubmed.ncbi.nlm.nih.gov/32882598/</b:URL>
    <b:RefOrder>32</b:RefOrder>
  </b:Source>
  <b:Source>
    <b:Tag>OPS19</b:Tag>
    <b:SourceType>InternetSite</b:SourceType>
    <b:Guid>{252DA621-0A34-45FE-B321-F9EE18400098}</b:Guid>
    <b:Author>
      <b:Author>
        <b:Corporate>OPS/OMS</b:Corporate>
      </b:Author>
    </b:Author>
    <b:Year>2019</b:Year>
    <b:YearAccessed>2023</b:YearAccessed>
    <b:MonthAccessed>Julio</b:MonthAccessed>
    <b:DayAccessed>22</b:DayAccessed>
    <b:URL>https://www.paho.org/es/noticias/31-12-2019-pandemia-covid-19-respuesta-%20cuba#gsc.tab=0</b:URL>
    <b:RefOrder>33</b:RefOrder>
  </b:Source>
  <b:Source>
    <b:Tag>Pab20</b:Tag>
    <b:SourceType>JournalArticle</b:SourceType>
    <b:Guid>{1D340DF7-DBC9-4643-9E91-F09D2C284E2E}</b:Guid>
    <b:Author>
      <b:Author>
        <b:NameList>
          <b:Person>
            <b:Last>Pablo</b:Last>
            <b:First>Vommaro</b:First>
          </b:Person>
        </b:NameList>
      </b:Author>
    </b:Author>
    <b:Title>Las dimensiones sociales, políticas y económicas de la pandemia</b:Title>
    <b:JournalName>EEUU:CLACSO</b:JournalName>
    <b:Year>2020</b:Year>
    <b:URL>https://www.clacso.org/las-dimensiones-sociales-politicas-y-economicas-de-la- pandemia/</b:URL>
    <b:RefOrder>34</b:RefOrder>
  </b:Source>
  <b:Source>
    <b:Tag>Jai20</b:Tag>
    <b:SourceType>JournalArticle</b:SourceType>
    <b:Guid>{443E7D88-5064-45B7-91AB-34B4FF1A2929}</b:Guid>
    <b:Author>
      <b:Author>
        <b:NameList>
          <b:Person>
            <b:Last>Jairo Ramírez-Ortiz</b:Last>
            <b:First>Jeisson</b:First>
            <b:Middle>Fontecha-Hernández, Franklin Escobar-Córdoba</b:Middle>
          </b:Person>
        </b:NameList>
      </b:Author>
    </b:Author>
    <b:Title>Efectos del aislamientos social sobe el sueño durante la pandemia del COVID-19</b:Title>
    <b:JournalName>Scielo Preprint</b:JournalName>
    <b:Year>2020</b:Year>
    <b:Month>Junio</b:Month>
    <b:Day>18</b:Day>
    <b:URL>https://preprints.scielo.org/index.php/scielo/preprint/view/801</b:URL>
    <b:RefOrder>35</b:RefOrder>
  </b:Source>
  <b:Source>
    <b:Tag>Jes20</b:Tag>
    <b:SourceType>JournalArticle</b:SourceType>
    <b:Guid>{03DBB1E6-0B17-4CE0-A9E6-E513A08DD9F0}</b:Guid>
    <b:Author>
      <b:Author>
        <b:NameList>
          <b:Person>
            <b:Last>Jesús Salvador Sánchez Díaz</b:Last>
            <b:First>*</b:First>
            <b:Middle>Karla Gabriela Peniche Moguel,* Gerardo Rivera Solís</b:Middle>
          </b:Person>
        </b:NameList>
      </b:Author>
    </b:Author>
    <b:Title>Psicosis del personal de salud en tiempos de COVID-19</b:Title>
    <b:JournalName>Med Cri</b:JournalName>
    <b:Year>2020</b:Year>
    <b:Pages>200-203</b:Pages>
    <b:URL>https://www.medigraphic.com/pdfs/medcri/ti-2020/ti203e.pdf</b:URL>
    <b:Volume>3</b:Volume>
    <b:Issue>34</b:Issue>
    <b:RefOrder>36</b:RefOrder>
  </b:Source>
  <b:Source>
    <b:Tag>Cae21</b:Tag>
    <b:SourceType>InternetSite</b:SourceType>
    <b:Guid>{1C2D8C00-F2E6-478B-B9BC-51EE040AE123}</b:Guid>
    <b:Year>2021</b:Year>
    <b:Month>Julio</b:Month>
    <b:ShortTitle>El otro impacto del Covid: las consecuencias en la salud mental</b:ShortTitle>
    <b:YearAccessed>2023</b:YearAccessed>
    <b:MonthAccessed>abril</b:MonthAccessed>
    <b:DayAccessed>5</b:DayAccessed>
    <b:URL>https://www.caeme.org.ar/el-otro-impacto-del-covid-las-consecuencias-en-la-salud-mental/</b:URL>
    <b:Author>
      <b:Author>
        <b:Corporate>Caeme</b:Corporate>
      </b:Author>
    </b:Author>
    <b:InternetSiteTitle>Caeme innovación para la salud</b:InternetSiteTitle>
    <b:RefOrder>37</b:RefOrder>
  </b:Source>
  <b:Source>
    <b:Tag>DaS20</b:Tag>
    <b:SourceType>JournalArticle</b:SourceType>
    <b:Guid>{B6A54733-FB10-49D2-B0BA-6D9905472AED}</b:Guid>
    <b:Title>Mental health: why it still matters in the midst of a pandemic</b:Title>
    <b:JournalName>Brazilian journal of psychiatry</b:JournalName>
    <b:Year>2020</b:Year>
    <b:Month>abril</b:Month>
    <b:Volume>42</b:Volume>
    <b:Issue>3</b:Issue>
    <b:Author>
      <b:Author>
        <b:NameList>
          <b:Person>
            <b:Last>Da Silva</b:Last>
            <b:First>A.</b:First>
            <b:Middle>G., Miranda, D. M., Diaz, A. P., Teles, A. L. S., Malloy-Diniz, L. F., &amp; Palha, A. P</b:Middle>
          </b:Person>
        </b:NameList>
      </b:Author>
    </b:Author>
    <b:Pages>229-231</b:Pages>
    <b:URL>https://www.scielo.br/j/rbp/a/5NkrjxyF9PYRQmYbGXyX5bw/?lang=en</b:URL>
    <b:RefOrder>38</b:RefOrder>
  </b:Source>
  <b:Source>
    <b:Tag>Org</b:Tag>
    <b:SourceType>InternetSite</b:SourceType>
    <b:Guid>{3439363D-8D6F-43E4-9AA4-ABE2C822FC41}</b:Guid>
    <b:Title>Organización Panamericana de la Salud. </b:Title>
    <b:JournalName>OPS</b:JournalName>
    <b:URL>https://www.paho.org/es/documentos/consideraciones- psicosociales-salud-mental-d</b:URL>
    <b:Year>2021</b:Year>
    <b:ShortTitle>Consideraciones psicosociales y de salud mental durante el brote de COVID-19</b:ShortTitle>
    <b:YearAccessed>2023</b:YearAccessed>
    <b:MonthAccessed>Mayo</b:MonthAccessed>
    <b:DayAccessed>6</b:DayAccessed>
    <b:InternetSiteTitle>OMS</b:InternetSiteTitle>
    <b:RefOrder>39</b:RefOrder>
  </b:Source>
  <b:Source>
    <b:Tag>Int20</b:Tag>
    <b:SourceType>InternetSite</b:SourceType>
    <b:Guid>{EE92D9F9-9340-4F71-94F6-5683B9A674BE}</b:Guid>
    <b:InternetSiteTitle>Intramed</b:InternetSiteTitle>
    <b:Year>2020</b:Year>
    <b:YearAccessed>2023</b:YearAccessed>
    <b:MonthAccessed>Julio</b:MonthAccessed>
    <b:DayAccessed>22</b:DayAccessed>
    <b:URL>https://www.intramed.net/contenidover.asp?contenidoid=95707</b:URL>
    <b:Author>
      <b:Author>
        <b:Corporate>Intramed</b:Corporate>
      </b:Author>
    </b:Author>
    <b:RefOrder>40</b:RefOrder>
  </b:Source>
  <b:Source>
    <b:Tag>MarcadorDePosición1</b:Tag>
    <b:SourceType>JournalArticle</b:SourceType>
    <b:Guid>{2389C71C-5450-4E5A-AC4B-EEC637911672}</b:Guid>
    <b:Author>
      <b:Author>
        <b:NameList>
          <b:Person>
            <b:Last>Rodriguez Quiroga</b:Last>
            <b:First>Andrea</b:First>
          </b:Person>
          <b:Person>
            <b:Last>Bongiardino</b:Last>
            <b:First>Laura</b:First>
          </b:Person>
          <b:Person>
            <b:Last>Aufenacker</b:Last>
            <b:First>Saskia</b:First>
            <b:Middle>Ivana</b:Middle>
          </b:Person>
          <b:Person>
            <b:Last>Borensztein</b:Last>
            <b:First>Laura</b:First>
          </b:Person>
          <b:Person>
            <b:Last>Botero Rojas</b:Last>
            <b:First>Maria</b:First>
            <b:Middle>Camila</b:Middle>
          </b:Person>
          <b:Person>
            <b:Last>Crawley</b:Last>
            <b:First>Alan</b:First>
          </b:Person>
          <b:Person>
            <b:Last>Scavone</b:Last>
            <b:First>Kevin</b:First>
          </b:Person>
          <b:Person>
            <b:Last>Vázquez</b:Last>
            <b:First>Natalia</b:First>
          </b:Person>
        </b:NameList>
      </b:Author>
    </b:Author>
    <b:Title>Mentañización, sentimientos de soledad y problemas internalizantes durante la cuarentena por el nuevo coronavirus covid-19</b:Title>
    <b:JournalName>Asociación Psicoanalítica de Buenos Aires</b:JournalName>
    <b:Year>2020</b:Year>
    <b:Pages>291-295</b:Pages>
    <b:URL>https://www.researchgate.net/profile/Camila_Botero2/publication/346426449_Mentalizacion_sentimientos_de_soledad_y_problemas_internalizantes_durante_la_cuarentena_por_el_nuevo_coronavirus_COVID-19/links/5fc1232292851c933f694a70/Mentalizacion-sentimientos-d</b:URL>
    <b:RefOrder>41</b:RefOrder>
  </b:Source>
  <b:Source>
    <b:Tag>Tir21</b:Tag>
    <b:SourceType>JournalArticle</b:SourceType>
    <b:Guid>{34E80F64-9726-4D45-8466-7696961678BE}</b:Guid>
    <b:Year>2021</b:Year>
    <b:URL>https://www.scielo.org.mx/scielo.php?script=sci_arttext&amp;pid=S1405-14352011000200006</b:URL>
    <b:Author>
      <b:Author>
        <b:NameList>
          <b:Person>
            <b:Last>Tirado Francisco</b:Last>
            <b:First>Cañada</b:First>
            <b:Middle>José A.</b:Middle>
          </b:Person>
        </b:NameList>
      </b:Author>
    </b:Author>
    <b:Title>Epidemias: un nuevo objeto sociotécnico</b:Title>
    <b:JournalName>Convergencia</b:JournalName>
    <b:Month>Mayo/Agosto</b:Month>
    <b:Volume>18</b:Volume>
    <b:Issue>56</b:Issue>
    <b:Pages>133-156</b:Pages>
    <b:RefOrder>42</b:RefOrder>
  </b:Source>
  <b:Source>
    <b:Tag>Psi20</b:Tag>
    <b:SourceType>InternetSite</b:SourceType>
    <b:Guid>{08B9EBD7-F47F-44A6-851D-2799D3DE3626}</b:Guid>
    <b:Year>2020</b:Year>
    <b:YearAccessed>2023</b:YearAccessed>
    <b:MonthAccessed>julio</b:MonthAccessed>
    <b:DayAccessed>22</b:DayAccessed>
    <b:URL>https://temas.sld.cu/psicobienestarsalud/2020/03/22/consideraciones- psicosociales-y-desalud-mental-durante-el-brote-de-covid-19/</b:URL>
    <b:Author>
      <b:Author>
        <b:Corporate>OMS</b:Corporate>
      </b:Author>
    </b:Author>
    <b:RefOrder>43</b:RefOrder>
  </b:Source>
  <b:Source>
    <b:Tag>Mol20</b:Tag>
    <b:SourceType>JournalArticle</b:SourceType>
    <b:Guid>{19A36AC3-21BB-4427-AE9B-6594A0190C43}</b:Guid>
    <b:Author>
      <b:Author>
        <b:NameList>
          <b:Person>
            <b:Last>Molina</b:Last>
            <b:First>C.</b:First>
            <b:Middle>L.</b:Middle>
          </b:Person>
        </b:NameList>
      </b:Author>
    </b:Author>
    <b:Title>La familia ante la pandemia del COVID-19</b:Title>
    <b:JournalName>Ius et Praxis</b:JournalName>
    <b:Year>2020</b:Year>
    <b:Issue>50-51</b:Issue>
    <b:Pages>23-29</b:Pages>
    <b:URL>https://revistas.ulima.edu.pe/index.php/Ius_et_Praxis/article/view/5028</b:URL>
    <b:RefOrder>44</b:RefOrder>
  </b:Source>
  <b:Source>
    <b:Tag>Eli18</b:Tag>
    <b:SourceType>JournalArticle</b:SourceType>
    <b:Guid>{21E3795D-6071-45F5-A680-3B85509F906B}</b:Guid>
    <b:Title>El impacto social de la comunicación en las epidemias: perspectivas bioéticas y de salud públicaSalud colectiva y salud pública</b:Title>
    <b:JournalName>Revista Iberoamericana de Bioética</b:JournalName>
    <b:Year>2018</b:Year>
    <b:Issue>7</b:Issue>
    <b:Pages>1-16</b:Pages>
    <b:URL>https://revistas.comillas.edu/index.php/bioetica-revista-iberoamericana/article/view/8374</b:URL>
    <b:Author>
      <b:Author>
        <b:NameList>
          <b:Person>
            <b:Last>21. Duro EA</b:Last>
            <b:First>Sotomayor</b:First>
            <b:Middle>MA, Czubaj F, Cardozo de Martínez CA, Gubert, IC, López Dávila LM</b:Middle>
          </b:Person>
        </b:NameList>
      </b:Author>
    </b:Author>
    <b:RefOrder>45</b:RefOrder>
  </b:Source>
  <b:Source>
    <b:Tag>Roj19</b:Tag>
    <b:SourceType>JournalArticle</b:SourceType>
    <b:Guid>{17E58111-C3F5-460F-8190-9AB8E0527CA6}</b:Guid>
    <b:Author>
      <b:Author>
        <b:NameList>
          <b:Person>
            <b:Last>Rojas Valeria</b:Last>
            <b:First>Rivera</b:First>
            <b:Middle>Andrea, Nilo Nelson</b:Middle>
          </b:Person>
        </b:NameList>
      </b:Author>
    </b:Author>
    <b:Title>Actualización en diagnóstico e intervención temprana del Trastorno del Espectro Autista</b:Title>
    <b:JournalName>Rev. chil. pediatr.</b:JournalName>
    <b:Year>2019</b:Year>
    <b:Month>oct</b:Month>
    <b:Volume>90</b:Volume>
    <b:Issue>5</b:Issue>
    <b:Pages>478-484</b:Pages>
    <b:YearAccessed>2023</b:YearAccessed>
    <b:MonthAccessed>Julio</b:MonthAccessed>
    <b:DayAccessed>22</b:DayAccessed>
    <b:URL>https://www.scielo.cl/scielo.php?script=sci_arttext&amp;pid=S0370-41062019000500478</b:URL>
    <b:RefOrder>46</b:RefOrder>
  </b:Source>
  <b:Source>
    <b:Tag>LiD20</b:Tag>
    <b:SourceType>JournalArticle</b:SourceType>
    <b:Guid>{93611DE0-9DE9-4269-A9D1-B2E5AFC12B3E}</b:Guid>
    <b:Title>Psychological interventions for people affected by the COVID-19 epidemic</b:Title>
    <b:JournalName>The Lancet </b:JournalName>
    <b:Year>2020</b:Year>
    <b:Month>April</b:Month>
    <b:Volume>7</b:Volume>
    <b:Issue>4</b:Issue>
    <b:Author>
      <b:Author>
        <b:NameList>
          <b:Person>
            <b:Last>Li Duan</b:Last>
            <b:First>Gang</b:First>
            <b:Middle>Zhu</b:Middle>
          </b:Person>
        </b:NameList>
      </b:Author>
    </b:Author>
    <b:URL>https://www.thelancet.com/journals/lanpsy/article/PIIS2215-0366(20)30073-0/fulltext</b:URL>
    <b:RefOrder>47</b:RefOrder>
  </b:Source>
  <b:Source>
    <b:Tag>Rod211</b:Tag>
    <b:SourceType>JournalArticle</b:SourceType>
    <b:Guid>{E358257C-1336-4B52-9811-7F0EFFAC5A29}</b:Guid>
    <b:Year>2021</b:Year>
    <b:URL>https://jah-journal.com/index.php/jah/article/view/64</b:URL>
    <b:Author>
      <b:Author>
        <b:NameList>
          <b:Person>
            <b:Last>Rodríguez Chiliquinga</b:Last>
            <b:First>N.</b:First>
            <b:Middle>S., Padilla Mina, L. Álvaro, Jarro Villavicencio, I. G., Suárez Rolando, B. I., &amp; Robles Urgilez, M.</b:Middle>
          </b:Person>
        </b:NameList>
      </b:Author>
    </b:Author>
    <b:Title>Rodríguez Chiliquinga, N. S., Padilla Mina, L. Álvaro, Jarro Villavicencio, I. G., Suárez Rolando,  Factores de riesgo asociados a depresión y ansiedad por covid-19 (SARS-Cov-2). Journal of American Health, 4(1), 63–71.</b:Title>
    <b:Volume>4</b:Volume>
    <b:Issue>1</b:Issue>
    <b:Pages>63-71</b:Pages>
    <b:RefOrder>48</b:RefOrder>
  </b:Source>
  <b:Source>
    <b:Tag>Sil19</b:Tag>
    <b:SourceType>Report</b:SourceType>
    <b:Guid>{FE9CFB47-9C0C-44B7-9FBD-B17CE762EF0F}</b:Guid>
    <b:Title>Detección temprana de aborto en mujeres de edad fertil</b:Title>
    <b:Year>2019</b:Year>
    <b:Publisher>UNIVERSIDAD DE GUAYAQUIL</b:Publisher>
    <b:Author>
      <b:Author>
        <b:NameList>
          <b:Person>
            <b:Last>Silva Cordova</b:Last>
            <b:Middle>Denisse</b:Middle>
            <b:First>Karen</b:First>
          </b:Person>
          <b:Person>
            <b:Last>Alvarado Quinto</b:Last>
            <b:Middle>Daniel</b:Middle>
            <b:First>Alex</b:First>
          </b:Person>
        </b:NameList>
      </b:Author>
    </b:Author>
    <b:RefOrder>12</b:RefOrder>
  </b:Source>
  <b:Source>
    <b:Tag>Vil21</b:Tag>
    <b:SourceType>Report</b:SourceType>
    <b:Guid>{59F18730-1DA3-46D7-89B7-08F7410F666E}</b:Guid>
    <b:Title>Prevalencia de hipotiroidismo subclínico mediante el uso del test de valoración sintomatológico de función tiroidea y correlación con alteraciones de niveles séricos de hormona estimulante de la tiroides en adultos jóvenes que acuden al banco de sangre de</b:Title>
    <b:Year>2021</b:Year>
    <b:Publisher>UNIVERSIDAD CENTRAL DEL ECUADOR</b:Publisher>
    <b:City>Quito</b:City>
    <b:Author>
      <b:Author>
        <b:NameList>
          <b:Person>
            <b:Last>Villagómez Torres</b:Last>
            <b:Middle>Estefania</b:Middle>
            <b:First>Diana</b:First>
          </b:Person>
        </b:NameList>
      </b:Author>
    </b:Author>
    <b:RefOrder>13</b:RefOrder>
  </b:Source>
  <b:Source>
    <b:Tag>Ger19</b:Tag>
    <b:SourceType>JournalArticle</b:SourceType>
    <b:Guid>{C0AB3C6D-EF3B-4190-8FD0-B9C81E794B06}</b:Guid>
    <b:Author>
      <b:Author>
        <b:NameList>
          <b:Person>
            <b:Last>Gerardo</b:Last>
            <b:First>Garcia</b:First>
          </b:Person>
        </b:NameList>
      </b:Author>
    </b:Author>
    <b:Year>2019</b:Year>
    <b:URL>http://www.scielo.org.co/scielo.php?script=sci_arttext&amp;pid=S0034-74502019000100035</b:URL>
    <b:Title>Alteraciones endocrinas vinculadas a la prescripción médica de carbonato de litio. Una revisión narrativa</b:Title>
    <b:JournalName>Psiquitria Colombiana</b:JournalName>
    <b:Volume>48</b:Volume>
    <b:Issue>1</b:Issue>
    <b:RefOrder>14</b:RefOrder>
  </b:Source>
  <b:Source>
    <b:Tag>Gar19</b:Tag>
    <b:SourceType>Report</b:SourceType>
    <b:Guid>{46B9055D-F49E-48A8-96A7-6DF7B7B6CA1B}</b:Guid>
    <b:Title>Determinación social del hipotiroidismo subclínico en niños, niñas y jóvenes de la ciudad de Manta-Ecuador, año lectivo 2017-2018</b:Title>
    <b:Year>2019</b:Year>
    <b:Publisher>Universidad Andina Simón Bolívar</b:Publisher>
    <b:City>Quito</b:City>
    <b:Author>
      <b:Author>
        <b:NameList>
          <b:Person>
            <b:Last>García Escovar</b:Last>
            <b:Middle>Alberto</b:Middle>
            <b:First>Carlos</b:First>
          </b:Person>
        </b:NameList>
      </b:Author>
    </b:Author>
    <b:RefOrder>15</b:RefOrder>
  </b:Source>
  <b:Source>
    <b:Tag>Nuñ16</b:Tag>
    <b:SourceType>JournalArticle</b:SourceType>
    <b:Guid>{2234E89A-B868-458C-8F38-7EEADAB8196F}</b:Guid>
    <b:Title>Hipotiroidismo en el embarazo</b:Title>
    <b:JournalName>Costa Rica y Centro Americana</b:JournalName>
    <b:Year>2016</b:Year>
    <b:Volume> LXXIII (620) </b:Volume>
    <b:Issue>637</b:Issue>
    <b:Author>
      <b:Author>
        <b:NameList>
          <b:Person>
            <b:Last>Nuñez</b:Last>
            <b:First>Natalia.</b:First>
          </b:Person>
        </b:NameList>
      </b:Author>
    </b:Author>
    <b:Pages>640, 2016</b:Pages>
    <b:URL>https://www.medigraphic.com/pdfs/revmedcoscen/rmc-2016/rmc163ao.pdf</b:URL>
    <b:RefOrder>16</b:RefOrder>
  </b:Source>
  <b:Source>
    <b:Tag>Ald</b:Tag>
    <b:SourceType>JournalArticle</b:SourceType>
    <b:Guid>{72472F95-1124-4CBE-BB46-DEBEFC54392F}</b:Guid>
    <b:Title>Hipotiroidismo: actualización en pruebas de laboratorio y tratamiento</b:Title>
    <b:JournalName>Dominio de las ciencias Vol. 7, núm. 5</b:JournalName>
    <b:Author>
      <b:Author>
        <b:NameList>
          <b:Person>
            <b:Last>Aldas Vargas</b:Last>
            <b:Middle>Alejandra</b:Middle>
            <b:First>Caterine</b:First>
          </b:Person>
          <b:Person>
            <b:Last>Garcés Bravo</b:Last>
            <b:Middle>Emmanuel</b:Middle>
            <b:First>Julio</b:First>
          </b:Person>
          <b:Person>
            <b:Last>Ferrín Zambrano</b:Last>
            <b:Middle>Ivette</b:Middle>
            <b:First>Naya</b:First>
          </b:Person>
        </b:NameList>
      </b:Author>
    </b:Author>
    <b:Year>2021</b:Year>
    <b:RefOrder>17</b:RefOrder>
  </b:Source>
  <b:Source>
    <b:Tag>Yag20</b:Tag>
    <b:SourceType>Report</b:SourceType>
    <b:Guid>{57267519-510B-47AD-BC0D-7F718C391CC6}</b:Guid>
    <b:Title>Infertilidad en mujeres de 25 a 35 años asocidas s hipotiroidismo</b:Title>
    <b:Year>2020</b:Year>
    <b:Publisher>UNIVERSIDAD DE GUAYAQUIL</b:Publisher>
    <b:Author>
      <b:Author>
        <b:NameList>
          <b:Person>
            <b:Last>Yagual Quinde</b:Last>
            <b:Middle>Elizabeth</b:Middle>
            <b:First>Margarita</b:First>
          </b:Person>
        </b:NameList>
      </b:Author>
    </b:Author>
    <b:RefOrder>18</b:RefOrder>
  </b:Source>
  <b:Source>
    <b:Tag>Lug19</b:Tag>
    <b:SourceType>JournalArticle</b:SourceType>
    <b:Guid>{03D663D7-043C-4637-A826-4F3978CAE4D7}</b:Guid>
    <b:Title>Prevalencia de hipotiroidismo subclínico en mujeres con infertilidad en un hospital de tercer nivel</b:Title>
    <b:JournalName>Horiz. sanitario vol.18 no.3 Villahermosa sep./dic. 2019</b:JournalName>
    <b:Year>2019</b:Year>
    <b:Author>
      <b:Author>
        <b:NameList>
          <b:Person>
            <b:Last>Lugo Montoya</b:Last>
            <b:Middle>Francisco</b:Middle>
            <b:First>Sabino</b:First>
          </b:Person>
          <b:Person>
            <b:Last>García Pérez</b:Last>
            <b:Middle>Ulises</b:Middle>
            <b:First>Leonardo</b:First>
          </b:Person>
          <b:Person>
            <b:Last>Domínguez Morales</b:Last>
            <b:First>Ever</b:First>
          </b:Person>
          <b:Person>
            <b:Last>Martínez Hernández</b:Last>
            <b:Middle>Magdalena</b:Middle>
            <b:First>Clara</b:First>
          </b:Person>
        </b:NameList>
      </b:Author>
    </b:Author>
    <b:RefOrder>19</b:RefOrder>
  </b:Source>
  <b:Source>
    <b:Tag>Per17</b:Tag>
    <b:SourceType>JournalArticle</b:SourceType>
    <b:Guid>{649D583D-0A30-4017-ADD5-AB893844F170}</b:Guid>
    <b:Title>¿Es necesario el cribado universal de las alteraciones tiroideas en las parejas con disfunción reproductiva?</b:Title>
    <b:JournalName>Prog Obstet Ginecol. 2017;60(3)</b:JournalName>
    <b:Year>2017</b:Year>
    <b:Pages>203-207</b:Pages>
    <b:Author>
      <b:Author>
        <b:NameList>
          <b:Person>
            <b:Last>Pereda Ríos</b:Last>
            <b:First>Ana</b:First>
          </b:Person>
          <b:Person>
            <b:Last>Rey Míguez</b:Last>
            <b:First>Marina</b:First>
          </b:Person>
          <b:Person>
            <b:Last>Díaz Gómez</b:Last>
            <b:First>María</b:First>
          </b:Person>
          <b:Person>
            <b:Last>Sola Rodríguez</b:Last>
            <b:First>Adolfo</b:First>
          </b:Person>
          <b:Person>
            <b:Last>Dopico Vázquez</b:Last>
            <b:First>Diana</b:First>
          </b:Person>
          <b:Person>
            <b:Last>Freire Calvo</b:Last>
            <b:First>Cristina</b:First>
          </b:Person>
          <b:Person>
            <b:Last>Roel Valdés</b:Last>
            <b:First>Cristina</b:First>
          </b:Person>
          <b:Person>
            <b:Last>Álvarez Seoane</b:Last>
            <b:First>Miguel</b:First>
          </b:Person>
        </b:NameList>
      </b:Author>
    </b:Author>
    <b:RefOrder>20</b:RefOrder>
  </b:Source>
  <b:Source>
    <b:Tag>Pat19</b:Tag>
    <b:SourceType>Report</b:SourceType>
    <b:Guid>{506A9717-D52A-49C6-91C6-90988BFFDD85}</b:Guid>
    <b:Title>Frecuencia de hipotiroidismo gestantes con o sin Factores de riesgo</b:Title>
    <b:Year>2020</b:Year>
    <b:Publisher>PONTIFICIA UNIVERSIDAD CATÓLICA DEL ECUADOR</b:Publisher>
    <b:City>Guayaquil</b:City>
    <b:Author>
      <b:Author>
        <b:NameList>
          <b:Person>
            <b:Last>Patiño Mora</b:Last>
            <b:Middle>Alejandra</b:Middle>
            <b:First>Daira</b:First>
          </b:Person>
          <b:Person>
            <b:Last>Ramirez Romero</b:Last>
            <b:Middle>Eduardo</b:Middle>
            <b:First>Jorge</b:First>
          </b:Person>
        </b:NameList>
      </b:Author>
    </b:Author>
    <b:RefOrder>21</b:RefOrder>
  </b:Source>
  <b:Source>
    <b:Tag>Ara191</b:Tag>
    <b:SourceType>JournalArticle</b:SourceType>
    <b:Guid>{D168C323-A4DF-49CB-ACC5-4F370D91A35A}</b:Guid>
    <b:Title>Hipotiroidismo subclínico en mujeres en edad reproductiva y embarazadas</b:Title>
    <b:JournalName>Revista Evidencia Vol. 22 Núm. 4 (2019)</b:JournalName>
    <b:Year>2019</b:Year>
    <b:Author>
      <b:Author>
        <b:NameList>
          <b:Person>
            <b:Last>Arauco</b:Last>
            <b:First>Ivan</b:First>
          </b:Person>
          <b:Person>
            <b:Last>Sgarbossa</b:Last>
            <b:First>Nadia</b:First>
          </b:Person>
          <b:Person>
            <b:Last>Ariel Franco</b:Last>
            <b:Middle>Victor</b:Middle>
            <b:First>Juan</b:First>
          </b:Person>
        </b:NameList>
      </b:Author>
    </b:Author>
    <b:RefOrder>22</b:RefOrder>
  </b:Source>
  <b:Source>
    <b:Tag>Jim20</b:Tag>
    <b:SourceType>JournalArticle</b:SourceType>
    <b:Guid>{49030F0B-A12F-44C1-A335-85227BF26F9F}</b:Guid>
    <b:Title>Hipotiroidismo asociado con infertilidad en mujeres en edad reproductiva</b:Title>
    <b:Year>2020</b:Year>
    <b:JournalName>Ginecología y Obstetricia de México 2020 mayo;88(5)</b:JournalName>
    <b:Pages>321-329</b:Pages>
    <b:Author>
      <b:Author>
        <b:NameList>
          <b:Person>
            <b:Last>Jiménez Ibañez</b:Last>
            <b:Middle>Carmín</b:Middle>
            <b:First>Linda</b:First>
          </b:Person>
          <b:Person>
            <b:Last>Conde Gutiérrez</b:Last>
            <b:Middle>del Socorro</b:Middle>
            <b:First>Yazmín</b:First>
          </b:Person>
          <b:Person>
            <b:Last>Torres Trejo</b:Last>
            <b:Middle>Antonio</b:Middle>
            <b:First>Juan</b:First>
          </b:Person>
        </b:NameList>
      </b:Author>
    </b:Author>
    <b:RefOrder>23</b:RefOrder>
  </b:Source>
  <b:Source>
    <b:Tag>Álv20</b:Tag>
    <b:SourceType>JournalArticle</b:SourceType>
    <b:Guid>{69457AEC-922B-4F25-803D-6EEBB5D027D4}</b:Guid>
    <b:Title>Abordaje del hipotiroidismo subclínico en el adulto</b:Title>
    <b:Year>2020</b:Year>
    <b:JournalName>Revista Médica Sinergia 2020, Número 02</b:JournalName>
    <b:Author>
      <b:Author>
        <b:NameList>
          <b:Person>
            <b:Last>Álvarez</b:Last>
            <b:Middle>A.</b:Middle>
            <b:First>C.</b:First>
          </b:Person>
          <b:Person>
            <b:Last>Rodríguez A.</b:Last>
            <b:Middle>M.</b:Middle>
            <b:First>J.</b:First>
          </b:Person>
          <b:Person>
            <b:Last>Salas</b:Last>
            <b:Middle>A.</b:Middle>
            <b:First>B.</b:First>
          </b:Person>
        </b:NameList>
      </b:Author>
    </b:Author>
    <b:RefOrder>24</b:RefOrder>
  </b:Source>
  <b:Source>
    <b:Tag>Pon21</b:Tag>
    <b:SourceType>JournalArticle</b:SourceType>
    <b:Guid>{0C260CFC-7FF5-44C9-BB14-CC7BA8CB1E1C}</b:Guid>
    <b:Title>Hipotiroidismo en pacientes del Centro de Especialidades Médicas; IESS-La Libertad</b:Title>
    <b:JournalName>REVISTA DE SALUD VIVE Vol. 4 Núm. 11 (2021)</b:JournalName>
    <b:Year>2021</b:Year>
    <b:Author>
      <b:Author>
        <b:NameList>
          <b:Person>
            <b:Last>Ponce Loor</b:Last>
            <b:First>Aleyda</b:First>
          </b:Person>
        </b:NameList>
      </b:Author>
    </b:Author>
    <b:RefOrder>25</b:RefOrder>
  </b:Source>
  <b:Source>
    <b:Tag>Peñ22</b:Tag>
    <b:SourceType>JournalArticle</b:SourceType>
    <b:Guid>{A9C15512-3A81-41FC-8104-5E4E296BB6FB}</b:Guid>
    <b:Title>Pseudo-obstrucción intestinal: una presentación poco frecuente de hipotiroidismo congénito</b:Title>
    <b:JournalName>Rev Gastroenterol Mex. 2022 May 12</b:JournalName>
    <b:Year>2022</b:Year>
    <b:Author>
      <b:Author>
        <b:NameList>
          <b:Person>
            <b:Last>Peña Vélez</b:Last>
            <b:First>R.</b:First>
          </b:Person>
          <b:Person>
            <b:Last>Reynoso Castorena</b:Last>
            <b:Middle>M.</b:Middle>
            <b:First>J.</b:First>
          </b:Person>
          <b:Person>
            <b:Last>Espinosa Flores</b:Last>
            <b:First>L.</b:First>
          </b:Person>
          <b:Person>
            <b:Last>Balanzar Depraect</b:Last>
            <b:Middle>L.</b:Middle>
            <b:First>J.</b:First>
          </b:Person>
          <b:Person>
            <b:Last>Gil Vargas</b:Last>
            <b:First>M.</b:First>
          </b:Person>
        </b:NameList>
      </b:Author>
    </b:Author>
    <b:RefOrder>26</b:RefOrder>
  </b:Source>
  <b:Source>
    <b:Tag>Igl20</b:Tag>
    <b:SourceType>Report</b:SourceType>
    <b:Guid>{441A4144-1B71-495A-8137-DE9044E9E3C4}</b:Guid>
    <b:Title>Frecuencia de hipotiroidismo en embarazadas </b:Title>
    <b:Year>2020</b:Year>
    <b:Publisher>UNIVERSIDAD AUTÓNOMA DEL ESTADO DE MORELOS</b:Publisher>
    <b:City>Cuernavaca</b:City>
    <b:Author>
      <b:Author>
        <b:NameList>
          <b:Person>
            <b:Last>Iglesias Rosales</b:Last>
            <b:Middle>Carolina</b:Middle>
            <b:First>Evelin</b:First>
          </b:Person>
        </b:NameList>
      </b:Author>
    </b:Author>
    <b:RefOrder>27</b:RefOrder>
  </b:Source>
  <b:Source>
    <b:Tag>Men21</b:Tag>
    <b:SourceType>Report</b:SourceType>
    <b:Guid>{9188AADB-13B9-44C5-B51A-FBFB6071BDF3}</b:Guid>
    <b:Title>Prevención y complicaciones del hipotiroidismo en gestantes. Hospital Instituto Ecuatoriano de Seguridad Social. Riobamba. 2020</b:Title>
    <b:Year>2021</b:Year>
    <b:Publisher>UNIVERSIDAD NACIONAL DE CHIMBORAZO</b:Publisher>
    <b:City>Riobamba</b:City>
    <b:Author>
      <b:Author>
        <b:NameList>
          <b:Person>
            <b:Last>Mena Montoya</b:Last>
            <b:Middle>Oswaldo</b:Middle>
            <b:First>Bryan</b:First>
          </b:Person>
          <b:Person>
            <b:Last>Meneces Urgilés</b:Last>
            <b:Middle>Israel</b:Middle>
            <b:First>Steven</b:First>
          </b:Person>
        </b:NameList>
      </b:Author>
    </b:Author>
    <b:RefOrder>28</b:RefOrder>
  </b:Source>
  <b:Source>
    <b:Tag>Mac19</b:Tag>
    <b:SourceType>JournalArticle</b:SourceType>
    <b:Guid>{24BFB890-847A-4718-A61D-E9E48FFF5D27}</b:Guid>
    <b:Title>Inmuología de la tiroides en la gestación y el posparto</b:Title>
    <b:JournalName>Perinatol Reprod Hum. 2019;33</b:JournalName>
    <b:Year>2019</b:Year>
    <b:Author>
      <b:Author>
        <b:NameList>
          <b:Person>
            <b:Last>Macchia de Sánchez</b:Last>
            <b:Middle>L.</b:Middle>
            <b:First>Carla</b:First>
          </b:Person>
          <b:Person>
            <b:Last>Sánchez Flórez</b:Last>
            <b:Middle>A.</b:Middle>
            <b:First>Javier</b:First>
          </b:Person>
        </b:NameList>
      </b:Author>
    </b:Author>
    <b:RefOrder>29</b:RefOrder>
  </b:Source>
  <b:Source>
    <b:Tag>Rad241</b:Tag>
    <b:SourceType>InternetSite</b:SourceType>
    <b:Guid>{29F6C531-3D13-47D3-B1E2-983B26888B6B}</b:Guid>
    <b:Year>2024</b:Year>
    <b:ShortTitle>Enfermedad de la glándula tiroides</b:ShortTitle>
    <b:YearAccessed>2024</b:YearAccessed>
    <b:MonthAccessed>septiembre</b:MonthAccessed>
    <b:DayAccessed>1</b:DayAccessed>
    <b:URL>https://www.radiologyinfo.org/es/info/thyroid-disease</b:URL>
    <b:Author>
      <b:Author>
        <b:Corporate>Radioinfo</b:Corporate>
      </b:Author>
    </b:Author>
    <b:InternetSiteTitle>Radioinfo</b:InternetSiteTitle>
    <b:RefOrder>1</b:RefOrder>
  </b:Source>
  <b:Source>
    <b:Tag>Val20</b:Tag>
    <b:SourceType>JournalArticle</b:SourceType>
    <b:Guid>{EA9ED512-33BC-4B59-865F-CCC147FEDF91}</b:Guid>
    <b:Title>Infertilidad e hipotiroidismo subclínico</b:Title>
    <b:JournalName>Archivo Médico Camagüey Vol. 24, No. 4 (2020)</b:JournalName>
    <b:Year>2020</b:Year>
    <b:Author>
      <b:Author>
        <b:NameList>
          <b:Person>
            <b:Last>Valle Pimienta</b:Last>
            <b:First>Tomás</b:First>
          </b:Person>
          <b:Person>
            <b:Last>Lago Díaz</b:Last>
            <b:First>Yosdania</b:First>
          </b:Person>
          <b:Person>
            <b:Last>Rosales Álvarez</b:Last>
            <b:First>Giselys</b:First>
          </b:Person>
          <b:Person>
            <b:Last>Breña Pérez</b:Last>
            <b:First>Yanerys</b:First>
          </b:Person>
          <b:Person>
            <b:Last>Ordaz Díaz</b:Last>
            <b:First>Sarahy</b:First>
          </b:Person>
          <b:Person>
            <b:Last>Pérez Aguado</b:Last>
            <b:First>Arelys</b:First>
          </b:Person>
        </b:NameList>
      </b:Author>
    </b:Author>
    <b:RefOrder>30</b:RefOrder>
  </b:Source>
  <b:Source>
    <b:Tag>Ahs19</b:Tag>
    <b:SourceType>JournalArticle</b:SourceType>
    <b:Guid>{53C90F7D-2031-4DD7-BF33-B6B254F75197}</b:Guid>
    <b:Title>Reemplazo de tiroxina para mujeres subfértiles con enfermedad tiroidea autoinmune eutiroidea o hipotiroidismo subclínico</b:Title>
    <b:JournalName>Base de datos Cochrane de Revisiones Sistemáticas</b:JournalName>
    <b:Year>2019</b:Year>
    <b:Author>
      <b:Author>
        <b:NameList>
          <b:Person>
            <b:Last>Ahsan Akhtar</b:Last>
            <b:First>M.</b:First>
          </b:Person>
          <b:Person>
            <b:Last>Agrawal</b:Last>
            <b:First>Rina</b:First>
          </b:Person>
          <b:Person>
            <b:Last>Brown</b:Last>
            <b:First>Julie</b:First>
          </b:Person>
          <b:Person>
            <b:Last>Sajjad</b:Last>
            <b:First>Yasmin</b:First>
          </b:Person>
          <b:Person>
            <b:Last>Craciunas</b:Last>
            <b:First>Laurentiu</b:First>
          </b:Person>
        </b:NameList>
      </b:Author>
    </b:Author>
    <b:RefOrder>31</b:RefOrder>
  </b:Source>
  <b:Source>
    <b:Tag>Tat24</b:Tag>
    <b:SourceType>InternetSite</b:SourceType>
    <b:Guid>{EAF7BAD5-8F6A-441D-8BBD-CB4E0BEDF36B}</b:Guid>
    <b:Title>Mayo</b:Title>
    <b:Year>2024</b:Year>
    <b:Author>
      <b:Author>
        <b:NameList>
          <b:Person>
            <b:Last>Tatnai Burnett</b:Last>
            <b:First>M.D.</b:First>
          </b:Person>
        </b:NameList>
      </b:Author>
    </b:Author>
    <b:URL>https://www.mayoclinic.org/es/diseases-conditions/female-infertility/expert-answers/hypothyroidism-and-infertility/faq-20058311</b:URL>
    <b:YearAccessed>2024</b:YearAccessed>
    <b:MonthAccessed>julio</b:MonthAccessed>
    <b:ShortTitle>¿Existe alguna relación entre el hipotiroidismo y la infertilidad en las mujeres?</b:ShortTitle>
    <b:RefOrder>32</b:RefOrder>
  </b:Source>
  <b:Source>
    <b:Tag>Jim21</b:Tag>
    <b:SourceType>JournalArticle</b:SourceType>
    <b:Guid>{3BC08BFF-F8FC-44E1-AAB2-47DBDDF88F4B}</b:Guid>
    <b:Title>Hipotiroidismo asociado con infertilidad en mujeres en edad reproductiva</b:Title>
    <b:JournalName>Ginecol. obstet. Méx. vol.88 no.5</b:JournalName>
    <b:Year>2021</b:Year>
    <b:Author>
      <b:Author>
        <b:NameList>
          <b:Person>
            <b:Last>Jimenez Ibañez</b:Last>
            <b:Middle>Carmín</b:Middle>
            <b:First>Linda</b:First>
          </b:Person>
          <b:Person>
            <b:Last>Conde Gutierrez</b:Last>
            <b:Middle>del Socorro</b:Middle>
            <b:First>Yazmin</b:First>
          </b:Person>
          <b:Person>
            <b:Last>Torres Trejo</b:Last>
            <b:Middle>Antonio</b:Middle>
            <b:First>Juan</b:First>
          </b:Person>
        </b:NameList>
      </b:Author>
    </b:Author>
    <b:RefOrder>3</b:RefOrder>
  </b:Source>
  <b:Source>
    <b:Tag>Ara19</b:Tag>
    <b:SourceType>JournalArticle</b:SourceType>
    <b:Guid>{9B994E25-C3BA-40D9-A05B-4D1F9A0D31B4}</b:Guid>
    <b:Title>Hipotiroidismo subclínico en mujeres en edad reproductiva y embarazadas</b:Title>
    <b:Year>2019</b:Year>
    <b:JournalName>Evidencia, actualizacion en la práctica ambulatoria Vol. 22 Núm. 4 (2019)</b:JournalName>
    <b:Author>
      <b:Author>
        <b:NameList>
          <b:Person>
            <b:Last>Arauco</b:Last>
            <b:First>Ivan</b:First>
          </b:Person>
          <b:Person>
            <b:Last>Sgarbossa</b:Last>
            <b:First>Nadia</b:First>
          </b:Person>
          <b:Person>
            <b:Last>Ariel Franco</b:Last>
            <b:Middle>Victor</b:Middle>
            <b:First>Juan</b:First>
          </b:Person>
        </b:NameList>
      </b:Author>
    </b:Author>
    <b:RefOrder>4</b:RefOrder>
  </b:Source>
  <b:Source>
    <b:Tag>Esp19</b:Tag>
    <b:SourceType>JournalArticle</b:SourceType>
    <b:Guid>{F95D67B8-86C2-45B1-8D63-D6C2A53FCB43}</b:Guid>
    <b:Title>Prevalencia y caracterización clínica del hipotiroidismo, en gestantes del Eje Cafetero (Colombia), 2014-2017</b:Title>
    <b:JournalName>Revista colombiana de endocrinología , diabetes y metabolismo Vol. 6 No. 4 (2019)</b:JournalName>
    <b:Year>2019</b:Year>
    <b:Author>
      <b:Author>
        <b:NameList>
          <b:Person>
            <b:Last>Espitia</b:Last>
            <b:Middle>J.</b:Middle>
            <b:First>F.</b:First>
          </b:Person>
          <b:Person>
            <b:Last>Orozco</b:Last>
            <b:First>L.</b:First>
          </b:Person>
        </b:NameList>
      </b:Author>
    </b:Author>
    <b:RefOrder>7</b:RefOrder>
  </b:Source>
  <b:Source>
    <b:Tag>Fra18</b:Tag>
    <b:SourceType>JournalArticle</b:SourceType>
    <b:Guid>{017B0111-5D5D-428F-9FC9-C479B2769786}</b:Guid>
    <b:Title>Hipertiroidismo en el embarazo</b:Title>
    <b:JournalName>Rev. peru. ginecol. obstet. vol.64 no.4</b:JournalName>
    <b:Year>2018</b:Year>
    <b:Author>
      <b:Author>
        <b:NameList>
          <b:Person>
            <b:Last>Franco Herrera</b:Last>
            <b:First>Daniela</b:First>
          </b:Person>
          <b:Person>
            <b:Last>Córdoba Díaz</b:Last>
            <b:First>Daniela</b:First>
          </b:Person>
          <b:Person>
            <b:Last>González Ocampo</b:Last>
            <b:First>Daniela</b:First>
          </b:Person>
          <b:Person>
            <b:Last>Ospina</b:Last>
            <b:Middle>José</b:Middle>
            <b:First>Juan</b:First>
          </b:Person>
          <b:Person>
            <b:Last>Olaya Garay</b:Last>
            <b:Middle>Ximena</b:Middle>
            <b:First>Sandra</b:First>
          </b:Person>
          <b:Person>
            <b:Last>Murillo García</b:Last>
            <b:Middle>Ricardo</b:Middle>
            <b:First>David</b:First>
          </b:Person>
        </b:NameList>
      </b:Author>
    </b:Author>
    <b:RefOrder>2</b:RefOrder>
  </b:Source>
  <b:Source>
    <b:Tag>Her19</b:Tag>
    <b:SourceType>Report</b:SourceType>
    <b:Guid>{FAD31958-CE1E-40CB-B887-C7BD66C89948}</b:Guid>
    <b:Title>Hipotiroidismo subclínico en el embarazo y la frecuencia de sus complicaciones</b:Title>
    <b:Year>2019</b:Year>
    <b:Publisher>Universidad El Bosque</b:Publisher>
    <b:City>Bogotá</b:City>
    <b:Author>
      <b:Author>
        <b:NameList>
          <b:Person>
            <b:Last>Hernandez Gómez</b:Last>
            <b:First>Natalia</b:First>
          </b:Person>
          <b:Person>
            <b:Last>Hernandez Olmos</b:Last>
            <b:Middle>David</b:Middle>
            <b:First>Juan</b:First>
          </b:Person>
          <b:Person>
            <b:Last>Hinojosa Dasa</b:Last>
            <b:Middle>Marcela</b:Middle>
            <b:First>Dayana</b:First>
          </b:Person>
          <b:Person>
            <b:Last>Martinez Hernandez</b:Last>
            <b:First>Laura</b:First>
          </b:Person>
        </b:NameList>
      </b:Author>
    </b:Author>
    <b:RefOrder>6</b:RefOrder>
  </b:Source>
  <b:Source>
    <b:Tag>Hin17</b:Tag>
    <b:SourceType>JournalArticle</b:SourceType>
    <b:Guid>{EB4EA927-95E8-4ABF-92BF-14C5E429CD2B}</b:Guid>
    <b:Title>Prevalencia de autoinmunidad tiroidea en mujeres subfértiles</b:Title>
    <b:Year>2017</b:Year>
    <b:JournalName>Ginecol. obstet. Méx. vol.85 no.10</b:JournalName>
    <b:Author>
      <b:Author>
        <b:NameList>
          <b:Person>
            <b:Last>Hinojosa Rodríguez</b:Last>
            <b:Middle>A.</b:Middle>
            <b:First>K.</b:First>
          </b:Person>
          <b:Person>
            <b:Last>Martínez Cruz</b:Last>
            <b:First>N.</b:First>
          </b:Person>
          <b:Person>
            <b:Last>Ortega González</b:Last>
            <b:First>C.</b:First>
          </b:Person>
          <b:Person>
            <b:Last>López Rioja</b:Last>
            <b:Middle>J.</b:Middle>
            <b:First>M.</b:First>
          </b:Person>
          <b:Person>
            <b:Last>Recio López</b:Last>
            <b:First>Y.</b:First>
          </b:Person>
          <b:Person>
            <b:Last>Sánchez González</b:Last>
            <b:Middle>M.</b:Middle>
            <b:First>C.</b:First>
          </b:Person>
        </b:NameList>
      </b:Author>
    </b:Author>
    <b:RefOrder>9</b:RefOrder>
  </b:Source>
  <b:Source>
    <b:Tag>Gra17</b:Tag>
    <b:SourceType>Report</b:SourceType>
    <b:Guid>{C3A195FA-6033-4F6F-A724-CC8AC5BFA1D4}</b:Guid>
    <b:Title>Intervención enfermera en gestantes sanas para la prevención del hipotiroidismo: Revisión bibliográfica</b:Title>
    <b:Year>2017</b:Year>
    <b:Publisher>Universidad de Zaragoza</b:Publisher>
    <b:Author>
      <b:Author>
        <b:NameList>
          <b:Person>
            <b:Last>Grasa Ciria</b:Last>
            <b:First>Diego</b:First>
          </b:Person>
        </b:NameList>
      </b:Author>
    </b:Author>
    <b:RefOrder>11</b:RefOrder>
  </b:Source>
  <b:Source>
    <b:Tag>22Re</b:Tag>
    <b:SourceType>JournalArticle</b:SourceType>
    <b:Guid>{55A2F80F-9451-4FCC-9EFD-A2A924CCF785}</b:Guid>
    <b:Year>2022</b:Year>
    <b:JournalName>Rev Chil Endo Diab 2022; 15(2)</b:JournalName>
    <b:Pages>71-74</b:Pages>
    <b:Title>Mecanismos fisiopatológicos del hipotiroidismo en la infertilidad femenina</b:Title>
    <b:Author>
      <b:Author>
        <b:NameList>
          <b:Person>
            <b:Last>San Martín</b:Last>
            <b:Middle>Sofía</b:Middle>
            <b:First>Josefina</b:First>
          </b:Person>
          <b:Person>
            <b:Last>Martínez</b:Last>
            <b:Middle>Loreto</b:Middle>
            <b:First>Francia</b:First>
          </b:Person>
        </b:NameList>
      </b:Author>
    </b:Author>
    <b:RefOrder>8</b:RefOrder>
  </b:Source>
  <b:Source>
    <b:Tag>Hin171</b:Tag>
    <b:SourceType>JournalArticle</b:SourceType>
    <b:Guid>{D09BDFF4-8DFC-4725-B261-F6A40A7B2C4B}</b:Guid>
    <b:Title>Prevalencia de autoinmunidad tiroidea en mujeres subfértiles</b:Title>
    <b:Year>2017</b:Year>
    <b:JournalName>Ginecol Obstet Mex. 2017 octubre;85(10)</b:JournalName>
    <b:Pages>694-704</b:Pages>
    <b:Author>
      <b:Author>
        <b:NameList>
          <b:Person>
            <b:Last>Hinojosa Rodríguez</b:Last>
            <b:Middle>A.</b:Middle>
            <b:First>K.</b:First>
          </b:Person>
          <b:Person>
            <b:Last>Martínez Cruz</b:Last>
            <b:First>N.</b:First>
          </b:Person>
          <b:Person>
            <b:Last>Ortega González</b:Last>
            <b:First>C.</b:First>
          </b:Person>
          <b:Person>
            <b:Last>López Rioja</b:Last>
            <b:Middle>J.</b:Middle>
            <b:First>M.</b:First>
          </b:Person>
          <b:Person>
            <b:Last>Recio López</b:Last>
            <b:First>Y.</b:First>
          </b:Person>
          <b:Person>
            <b:Last>Sánchez  González</b:Last>
            <b:Middle>M.</b:Middle>
            <b:First>C.</b:First>
          </b:Person>
        </b:NameList>
      </b:Author>
    </b:Author>
    <b:RefOrder>10</b:RefOrder>
  </b:Source>
  <b:Source>
    <b:Tag>Sán19</b:Tag>
    <b:SourceType>Report</b:SourceType>
    <b:Guid>{11669BAC-45E0-4753-BC24-12789C8DC4CC}</b:Guid>
    <b:Title>Prevalencia y factores asociados al hipotiroidismo subclinico en mujeres de edad fertil</b:Title>
    <b:Year>2019</b:Year>
    <b:Publisher>Universidad Católica de Cuenca</b:Publisher>
    <b:City>Cuenca</b:City>
    <b:Author>
      <b:Author>
        <b:NameList>
          <b:Person>
            <b:Last>Sánchez Salazar</b:Last>
            <b:First>Gustavo Mauricio</b:First>
          </b:Person>
        </b:NameList>
      </b:Author>
    </b:Author>
    <b:RefOrder>5</b:RefOrder>
  </b:Source>
</b:Sources>
</file>

<file path=customXml/itemProps1.xml><?xml version="1.0" encoding="utf-8"?>
<ds:datastoreItem xmlns:ds="http://schemas.openxmlformats.org/officeDocument/2006/customXml" ds:itemID="{BA736B90-BC76-4101-A9B8-9A4E42AE3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16</Pages>
  <Words>5968</Words>
  <Characters>32827</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38718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MARIA DOLORES ROBLES URGILES</cp:lastModifiedBy>
  <cp:revision>8</cp:revision>
  <cp:lastPrinted>2024-10-14T02:41:00Z</cp:lastPrinted>
  <dcterms:created xsi:type="dcterms:W3CDTF">2024-09-30T22:44:00Z</dcterms:created>
  <dcterms:modified xsi:type="dcterms:W3CDTF">2024-10-18T01:28:00Z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